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media/rId177.png" ContentType="image/png"/>
  <Override PartName="/word/media/rId181.png" ContentType="image/png"/>
  <Override PartName="/word/media/rId185.png" ContentType="image/png"/>
  <Override PartName="/word/media/rId189.png" ContentType="image/png"/>
  <Override PartName="/word/media/rId193.png" ContentType="image/png"/>
  <Override PartName="/word/media/rId19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p>
    <w:p>
      <w:pPr>
        <w:pStyle w:val="BodyText"/>
      </w:pPr>
      <w:r>
        <w:t xml:space="preserve"> </w:t>
      </w:r>
    </w:p>
    <w:bookmarkStart w:id="20" w:name="title"/>
    <w:p>
      <w:pPr>
        <w:pStyle w:val="Heading1"/>
      </w:pPr>
      <w:r>
        <w:t xml:space="preserve">Contribution of the Late Positive Potential to Emotional Memory: A Joint Neuro-Cognitive Approach to Memory Prediction</w:t>
      </w:r>
    </w:p>
    <w:p>
      <w:pPr>
        <w:pStyle w:val="Author"/>
      </w:pPr>
      <w:r>
        <w:t xml:space="preserve"> </w:t>
      </w:r>
    </w:p>
    <w:p>
      <w:pPr>
        <w:pStyle w:val="Author"/>
      </w:pPr>
      <w:r>
        <w:t xml:space="preserve">Robin Hellerstedt</w:t>
      </w:r>
      <w:r>
        <w:rPr>
          <w:vertAlign w:val="superscript"/>
        </w:rPr>
        <w:t xml:space="preserve">1,2</w:t>
      </w:r>
      <w:r>
        <w:t xml:space="preserve">, Jordan Gunn</w:t>
      </w:r>
      <w:r>
        <w:rPr>
          <w:vertAlign w:val="superscript"/>
        </w:rPr>
        <w:t xml:space="preserve">1</w:t>
      </w:r>
      <w:r>
        <w:t xml:space="preserve">, and Deborah Talmi</w:t>
      </w:r>
      <w:r>
        <w:rPr>
          <w:vertAlign w:val="superscript"/>
        </w:rPr>
        <w:t xml:space="preserve">1</w:t>
      </w:r>
    </w:p>
    <w:p>
      <w:pPr>
        <w:pStyle w:val="Author"/>
      </w:pPr>
      <w:r>
        <w:rPr>
          <w:vertAlign w:val="superscript"/>
        </w:rPr>
        <w:t xml:space="preserve">1</w:t>
      </w:r>
      <w:r>
        <w:t xml:space="preserve">Department of psychology, University of Cambridge, United Kingdom</w:t>
      </w:r>
    </w:p>
    <w:p>
      <w:pPr>
        <w:pStyle w:val="Author"/>
      </w:pPr>
      <w:r>
        <w:rPr>
          <w:vertAlign w:val="superscript"/>
        </w:rPr>
        <w:t xml:space="preserve">2</w:t>
      </w:r>
      <w:r>
        <w:t xml:space="preserve">Mind brain and behaviour research centre, University of Granada, Spain.</w:t>
      </w:r>
    </w:p>
    <w:p>
      <w:pPr>
        <w:pStyle w:val="BodyText"/>
      </w:pPr>
      <w:r>
        <w:t xml:space="preserve"> </w:t>
      </w:r>
    </w:p>
    <w:p>
      <w:pPr>
        <w:pStyle w:val="BodyText"/>
      </w:pPr>
      <w:r>
        <w:t xml:space="preserve"> </w:t>
      </w:r>
    </w:p>
    <w:bookmarkEnd w:id="20"/>
    <w:bookmarkStart w:id="167" w:name="author-note"/>
    <w:p>
      <w:pPr>
        <w:pStyle w:val="Heading1"/>
      </w:pPr>
      <w:r>
        <w:t xml:space="preserve">Author Note</w:t>
      </w:r>
    </w:p>
    <w:p>
      <w:pPr>
        <w:pStyle w:val="FirstParagraph"/>
      </w:pPr>
      <w:r>
        <w:t xml:space="preserve">We thank V Zarubin and K Mickley-Steinmetz for generously sharing their data and answering our questions and N Daw for his comments on a draft of the manuscript. The study was supported by a joint award from the School of Biological Sciences, University of Cambridge, The Newton Trust, and Wellcome Trust Institutional Strategic Support Fund (204845/Z/16/Z) and the Economic and Social Research Council (ES/X005240/1).</w:t>
      </w:r>
    </w:p>
    <w:p>
      <w:pPr>
        <w:pStyle w:val="BodyText"/>
      </w:pPr>
      <w:r>
        <w:t xml:space="preserve">Corresponding author: Robin Hellerstedt (robinhellerstedt@ugr.es)</w:t>
      </w:r>
    </w:p>
    <w:p>
      <w:r>
        <w:br w:type="page"/>
      </w:r>
    </w:p>
    <w:bookmarkStart w:id="21" w:name="abstract"/>
    <w:p>
      <w:pPr>
        <w:pStyle w:val="Heading2"/>
      </w:pPr>
      <w:r>
        <w:t xml:space="preserve">Abstract</w:t>
      </w:r>
    </w:p>
    <w:p>
      <w:pPr>
        <w:pStyle w:val="FirstParagraph"/>
      </w:pPr>
      <w:r>
        <w:t xml:space="preserve">Emotional events are better remembered than neutral events.</w:t>
      </w:r>
      <w:r>
        <w:t xml:space="preserve"> </w:t>
      </w:r>
      <w:r>
        <w:t xml:space="preserve">The emotional Context Maintenance and Retrieval model (eCMR) assumes that emotional items are preferentially processed during encoding.</w:t>
      </w:r>
      <w:r>
        <w:t xml:space="preserve"> </w:t>
      </w:r>
      <w:r>
        <w:t xml:space="preserve">In eCMR, preferential processing is implemented by a free parameter (</w:t>
      </w:r>
      <m:oMath>
        <m:sSub>
          <m:e>
            <m:r>
              <m:t>ϕ</m:t>
            </m:r>
          </m:e>
          <m:sub>
            <m:r>
              <m:rPr>
                <m:nor/>
                <m:sty m:val="p"/>
              </m:rPr>
              <m:t>emot</m:t>
            </m:r>
          </m:sub>
        </m:sSub>
      </m:oMath>
      <w:r>
        <w:t xml:space="preserve">) that scales the learning rate equally for all emotional items.</w:t>
      </w:r>
      <w:r>
        <w:t xml:space="preserve"> </w:t>
      </w:r>
      <w:r>
        <w:t xml:space="preserve">Incorporating a neural signal measured during encoding could make the model’s account more specific by predicting which emotional items are later recalled.</w:t>
      </w:r>
      <w:r>
        <w:t xml:space="preserve"> </w:t>
      </w:r>
      <w:r>
        <w:t xml:space="preserve">We investigated whether the LPP could provide this item-specific information in a secondary analysis of EEG recorded while 38 participants encoded negative and neutral pictures for an immediate free recall test</w:t>
      </w:r>
      <w:r>
        <w:t xml:space="preserve"> </w:t>
      </w:r>
      <w:r>
        <w:t xml:space="preserve">(</w:t>
      </w:r>
      <w:hyperlink w:anchor="ref-zarubin2020contributions">
        <w:r>
          <w:rPr>
            <w:rStyle w:val="Hyperlink"/>
          </w:rPr>
          <w:t xml:space="preserve">Zarubin et al., 2020</w:t>
        </w:r>
      </w:hyperlink>
      <w:r>
        <w:t xml:space="preserve">)</w:t>
      </w:r>
      <w:r>
        <w:t xml:space="preserve">.</w:t>
      </w:r>
      <w:r>
        <w:t xml:space="preserve"> </w:t>
      </w:r>
      <w:r>
        <w:t xml:space="preserve">First, we established that the LPP effect was modulated by emotion in an early (400-1000 ms) and a late (1000-2000 ms) time window and this modulation was reliable in 73.7% and 50% of the participants respectively.</w:t>
      </w:r>
      <w:r>
        <w:t xml:space="preserve"> </w:t>
      </w:r>
      <w:r>
        <w:t xml:space="preserve">Second, we investigated at what level the LPP was related to subsequent memory.</w:t>
      </w:r>
      <w:r>
        <w:t xml:space="preserve"> </w:t>
      </w:r>
      <w:r>
        <w:t xml:space="preserve">Emotion-enhanced LPP did not covary with emotion-enhanced memory between participants or across lists within participants, but the early LPP specifically predicted memory for emotional items on a single-trial level.</w:t>
      </w:r>
      <w:r>
        <w:t xml:space="preserve"> </w:t>
      </w:r>
      <w:r>
        <w:t xml:space="preserve">Third, we compared eCMR variants to test whether trial-level early LPP should scale learning for both categories or only for emotional items, and whether it could replace or complement a common learning-rate increase for all emotional items.</w:t>
      </w:r>
      <w:r>
        <w:t xml:space="preserve"> </w:t>
      </w:r>
      <w:r>
        <w:t xml:space="preserve">The best-fitting model combined emotion-specific LPP scaling with the common learning-rate increase.</w:t>
      </w:r>
      <w:r>
        <w:t xml:space="preserve"> </w:t>
      </w:r>
      <w:r>
        <w:t xml:space="preserve">The early LPP thus improved eCMR’s prediction of recall, but only for emotional items.</w:t>
      </w:r>
      <w:r>
        <w:t xml:space="preserve"> </w:t>
      </w:r>
      <w:r>
        <w:t xml:space="preserve">This specificity is difficult to reconcile with accounts on which the LPP reflects attention or stimulus significance more generally, which predict a relationship to memory for neutral items as well.</w:t>
      </w:r>
    </w:p>
    <w:bookmarkEnd w:id="21"/>
    <w:bookmarkStart w:id="22" w:name="introduction"/>
    <w:p>
      <w:pPr>
        <w:pStyle w:val="Heading2"/>
      </w:pPr>
      <w:r>
        <w:t xml:space="preserve">Introduction</w:t>
      </w:r>
    </w:p>
    <w:p>
      <w:pPr>
        <w:pStyle w:val="FirstParagraph"/>
      </w:pPr>
      <w:r>
        <w:t xml:space="preserve">Retrieved-context theory</w:t>
      </w:r>
      <w:r>
        <w:t xml:space="preserve"> </w:t>
      </w:r>
      <w:r>
        <w:t xml:space="preserve">(</w:t>
      </w:r>
      <w:hyperlink w:anchor="ref-howard2002distributed">
        <w:r>
          <w:rPr>
            <w:rStyle w:val="Hyperlink"/>
          </w:rPr>
          <w:t xml:space="preserve">Howard &amp; Kahana, 2002</w:t>
        </w:r>
      </w:hyperlink>
      <w:r>
        <w:t xml:space="preserve">)</w:t>
      </w:r>
      <w:r>
        <w:t xml:space="preserve"> </w:t>
      </w:r>
      <w:r>
        <w:t xml:space="preserve">describes the rules that govern the chances that an experience we have now will come to mind later.</w:t>
      </w:r>
      <w:r>
        <w:t xml:space="preserve"> </w:t>
      </w:r>
      <w:r>
        <w:t xml:space="preserve">It is supported by extensive behavioural</w:t>
      </w:r>
      <w:r>
        <w:t xml:space="preserve"> </w:t>
      </w:r>
      <w:r>
        <w:t xml:space="preserve">(</w:t>
      </w:r>
      <w:hyperlink w:anchor="ref-healey2016four">
        <w:r>
          <w:rPr>
            <w:rStyle w:val="Hyperlink"/>
          </w:rPr>
          <w:t xml:space="preserve">Healey &amp; Kahana, 2016</w:t>
        </w:r>
      </w:hyperlink>
      <w:r>
        <w:t xml:space="preserve">;</w:t>
      </w:r>
      <w:r>
        <w:t xml:space="preserve"> </w:t>
      </w:r>
      <w:hyperlink w:anchor="ref-lohnas2015expanding">
        <w:r>
          <w:rPr>
            <w:rStyle w:val="Hyperlink"/>
          </w:rPr>
          <w:t xml:space="preserve">Lohnas et al., 2015</w:t>
        </w:r>
      </w:hyperlink>
      <w:r>
        <w:t xml:space="preserve">;</w:t>
      </w:r>
      <w:r>
        <w:t xml:space="preserve"> </w:t>
      </w:r>
      <w:hyperlink w:anchor="ref-sederberg2008context">
        <w:r>
          <w:rPr>
            <w:rStyle w:val="Hyperlink"/>
          </w:rPr>
          <w:t xml:space="preserve">Sederberg et al., 2008</w:t>
        </w:r>
      </w:hyperlink>
      <w:r>
        <w:t xml:space="preserve">)</w:t>
      </w:r>
      <w:r>
        <w:t xml:space="preserve"> </w:t>
      </w:r>
      <w:r>
        <w:t xml:space="preserve">and neural</w:t>
      </w:r>
      <w:r>
        <w:t xml:space="preserve"> </w:t>
      </w:r>
      <w:r>
        <w:t xml:space="preserve">(</w:t>
      </w:r>
      <w:hyperlink w:anchor="ref-folkerts2018human">
        <w:r>
          <w:rPr>
            <w:rStyle w:val="Hyperlink"/>
          </w:rPr>
          <w:t xml:space="preserve">Folkerts et al., 2018</w:t>
        </w:r>
      </w:hyperlink>
      <w:r>
        <w:t xml:space="preserve">;</w:t>
      </w:r>
      <w:r>
        <w:t xml:space="preserve"> </w:t>
      </w:r>
      <w:hyperlink w:anchor="ref-kragel2021distinct">
        <w:r>
          <w:rPr>
            <w:rStyle w:val="Hyperlink"/>
          </w:rPr>
          <w:t xml:space="preserve">Kragel et al., 2021</w:t>
        </w:r>
      </w:hyperlink>
      <w:r>
        <w:t xml:space="preserve">;</w:t>
      </w:r>
      <w:r>
        <w:t xml:space="preserve"> </w:t>
      </w:r>
      <w:hyperlink w:anchor="ref-manning2011oscillatory">
        <w:r>
          <w:rPr>
            <w:rStyle w:val="Hyperlink"/>
          </w:rPr>
          <w:t xml:space="preserve">Manning et al., 2011</w:t>
        </w:r>
      </w:hyperlink>
      <w:r>
        <w:t xml:space="preserve">;</w:t>
      </w:r>
      <w:r>
        <w:t xml:space="preserve"> </w:t>
      </w:r>
      <w:hyperlink w:anchor="ref-polyn2005category">
        <w:r>
          <w:rPr>
            <w:rStyle w:val="Hyperlink"/>
          </w:rPr>
          <w:t xml:space="preserve">Polyn et al., 2005</w:t>
        </w:r>
      </w:hyperlink>
      <w:r>
        <w:t xml:space="preserve">)</w:t>
      </w:r>
      <w:r>
        <w:t xml:space="preserve"> </w:t>
      </w:r>
      <w:r>
        <w:t xml:space="preserve">evidence (for a recent review, see</w:t>
      </w:r>
      <w:r>
        <w:t xml:space="preserve"> </w:t>
      </w:r>
      <w:r>
        <w:t xml:space="preserve">Lohnas and Healey (</w:t>
      </w:r>
      <w:hyperlink w:anchor="ref-lohnas2021role">
        <w:r>
          <w:rPr>
            <w:rStyle w:val="Hyperlink"/>
          </w:rPr>
          <w:t xml:space="preserve">2021</w:t>
        </w:r>
      </w:hyperlink>
      <w:r>
        <w:t xml:space="preserve">)</w:t>
      </w:r>
      <w:r>
        <w:t xml:space="preserve">).</w:t>
      </w:r>
      <w:r>
        <w:t xml:space="preserve"> </w:t>
      </w:r>
      <w:r>
        <w:t xml:space="preserve">According to this theory, items become associated with a gradually-drifting internal context during encoding.</w:t>
      </w:r>
      <w:r>
        <w:t xml:space="preserve"> </w:t>
      </w:r>
      <w:r>
        <w:t xml:space="preserve">This association functions bidirectionally, such that retrieving an item reinstates its associated context, which then cues further recall.</w:t>
      </w:r>
      <w:r>
        <w:t xml:space="preserve"> </w:t>
      </w:r>
      <w:r>
        <w:t xml:space="preserve">This mechanism accounts for the propensity to consecutively recall items that were encoded nearby in time (temporal contiguity effects) and, more broadly, items that shared similar encoding contexts.</w:t>
      </w:r>
      <w:r>
        <w:t xml:space="preserve"> </w:t>
      </w:r>
      <w:r>
        <w:t xml:space="preserve">Polyn et al. (</w:t>
      </w:r>
      <w:hyperlink w:anchor="ref-polyn2009context">
        <w:r>
          <w:rPr>
            <w:rStyle w:val="Hyperlink"/>
          </w:rPr>
          <w:t xml:space="preserve">2009</w:t>
        </w:r>
      </w:hyperlink>
      <w:r>
        <w:t xml:space="preserve">)</w:t>
      </w:r>
      <w:r>
        <w:t xml:space="preserve"> </w:t>
      </w:r>
      <w:r>
        <w:t xml:space="preserve">extended retrieved-context theory to nontemporal dimensions of context, including pre-experimental semantic associations and source features that capture shared encoding conditions.</w:t>
      </w:r>
      <w:r>
        <w:t xml:space="preserve"> </w:t>
      </w:r>
      <w:r>
        <w:t xml:space="preserve">For example, the propensity to recall items presented in the same modality contiguously is explained by representing them as sharing a</w:t>
      </w:r>
      <w:r>
        <w:t xml:space="preserve"> </w:t>
      </w:r>
      <w:r>
        <w:t xml:space="preserve">“source”</w:t>
      </w:r>
      <w:r>
        <w:t xml:space="preserve"> </w:t>
      </w:r>
      <w:r>
        <w:t xml:space="preserve">context.</w:t>
      </w:r>
      <w:r>
        <w:t xml:space="preserve"> </w:t>
      </w:r>
      <w:r>
        <w:t xml:space="preserve">Within this framework, emotional Context-Maintenance and Retrieval</w:t>
      </w:r>
      <w:r>
        <w:t xml:space="preserve"> </w:t>
      </w:r>
      <w:r>
        <w:t xml:space="preserve">(</w:t>
      </w:r>
      <w:hyperlink w:anchor="ref-talmi2019retrieved">
        <w:r>
          <w:rPr>
            <w:rStyle w:val="Hyperlink"/>
          </w:rPr>
          <w:t xml:space="preserve">Talmi et al., 2019</w:t>
        </w:r>
      </w:hyperlink>
      <w:r>
        <w:t xml:space="preserve">)</w:t>
      </w:r>
      <w:r>
        <w:t xml:space="preserve"> </w:t>
      </w:r>
      <w:r>
        <w:t xml:space="preserve">(eCMR) extended CMR by describing the emotional dimension as a source feature, which explains why emotional items often cluster together in free recall.</w:t>
      </w:r>
      <w:r>
        <w:t xml:space="preserve"> </w:t>
      </w:r>
      <w:r>
        <w:t xml:space="preserve">This manuscript focuses on the proposal in eCMR and following models</w:t>
      </w:r>
      <w:r>
        <w:t xml:space="preserve"> </w:t>
      </w:r>
      <w:r>
        <w:t xml:space="preserve">(CMR3,</w:t>
      </w:r>
      <w:r>
        <w:t xml:space="preserve"> </w:t>
      </w:r>
      <w:hyperlink w:anchor="ref-cohen2022memory">
        <w:r>
          <w:rPr>
            <w:rStyle w:val="Hyperlink"/>
          </w:rPr>
          <w:t xml:space="preserve">Cohen &amp; Kahana, 2022</w:t>
        </w:r>
      </w:hyperlink>
      <w:r>
        <w:t xml:space="preserve">; TCM-SR,</w:t>
      </w:r>
      <w:r>
        <w:t xml:space="preserve"> </w:t>
      </w:r>
      <w:hyperlink w:anchor="ref-zhou2025episodic">
        <w:r>
          <w:rPr>
            <w:rStyle w:val="Hyperlink"/>
          </w:rPr>
          <w:t xml:space="preserve">Zhou et al., 2025</w:t>
        </w:r>
      </w:hyperlink>
      <w:r>
        <w:t xml:space="preserve">)</w:t>
      </w:r>
      <w:r>
        <w:t xml:space="preserve"> </w:t>
      </w:r>
      <w:r>
        <w:t xml:space="preserve">that emotional arousal should be simulated as a modulator of the learning rate.</w:t>
      </w:r>
    </w:p>
    <w:p>
      <w:pPr>
        <w:pStyle w:val="BodyText"/>
      </w:pPr>
      <w:r>
        <w:t xml:space="preserve">It is known that emotional items are preferentially processed during encoding</w:t>
      </w:r>
      <w:r>
        <w:t xml:space="preserve"> </w:t>
      </w:r>
      <w:r>
        <w:t xml:space="preserve">(</w:t>
      </w:r>
      <w:hyperlink w:anchor="ref-anderson2005affective">
        <w:r>
          <w:rPr>
            <w:rStyle w:val="Hyperlink"/>
          </w:rPr>
          <w:t xml:space="preserve">Anderson, 2005</w:t>
        </w:r>
      </w:hyperlink>
      <w:r>
        <w:t xml:space="preserve">;</w:t>
      </w:r>
      <w:r>
        <w:t xml:space="preserve"> </w:t>
      </w:r>
      <w:hyperlink w:anchor="ref-mackay2004emotion">
        <w:r>
          <w:rPr>
            <w:rStyle w:val="Hyperlink"/>
          </w:rPr>
          <w:t xml:space="preserve">MacKay et al., 2004</w:t>
        </w:r>
      </w:hyperlink>
      <w:r>
        <w:t xml:space="preserve">;</w:t>
      </w:r>
      <w:r>
        <w:t xml:space="preserve"> </w:t>
      </w:r>
      <w:hyperlink w:anchor="ref-pourtois2013brain">
        <w:r>
          <w:rPr>
            <w:rStyle w:val="Hyperlink"/>
          </w:rPr>
          <w:t xml:space="preserve">Pourtois et al., 2013</w:t>
        </w:r>
      </w:hyperlink>
      <w:r>
        <w:t xml:space="preserve">;</w:t>
      </w:r>
      <w:r>
        <w:t xml:space="preserve"> </w:t>
      </w:r>
      <w:hyperlink w:anchor="ref-schupp2006emotion">
        <w:r>
          <w:rPr>
            <w:rStyle w:val="Hyperlink"/>
          </w:rPr>
          <w:t xml:space="preserve">Schupp et al., 2006</w:t>
        </w:r>
      </w:hyperlink>
      <w:r>
        <w:t xml:space="preserve">)</w:t>
      </w:r>
      <w:r>
        <w:t xml:space="preserve">.</w:t>
      </w:r>
      <w:r>
        <w:t xml:space="preserve"> </w:t>
      </w:r>
      <w:r>
        <w:t xml:space="preserve">eCMR and subsequent models simulate this by scaling the learning rate for associations from context to item features during encoding, so that emotional items form stronger bindings to their encoding context.</w:t>
      </w:r>
      <w:r>
        <w:t xml:space="preserve"> </w:t>
      </w:r>
      <w:r>
        <w:t xml:space="preserve">The degree of extra processing is governed by the value of parameter</w:t>
      </w:r>
      <w:r>
        <w:t xml:space="preserve"> </w:t>
      </w:r>
      <m:oMath>
        <m:sSub>
          <m:e>
            <m:r>
              <m:t>ϕ</m:t>
            </m:r>
          </m:e>
          <m:sub>
            <m:r>
              <m:rPr>
                <m:sty m:val="p"/>
              </m:rPr>
              <m:t>e</m:t>
            </m:r>
            <m:r>
              <m:rPr>
                <m:sty m:val="p"/>
              </m:rPr>
              <m:t>m</m:t>
            </m:r>
            <m:r>
              <m:rPr>
                <m:sty m:val="p"/>
              </m:rPr>
              <m:t>o</m:t>
            </m:r>
            <m:r>
              <m:rPr>
                <m:sty m:val="p"/>
              </m:rPr>
              <m:t>t</m:t>
            </m:r>
          </m:sub>
        </m:sSub>
      </m:oMath>
      <w:r>
        <w:t xml:space="preserve">.</w:t>
      </w:r>
      <w:r>
        <w:t xml:space="preserve"> </w:t>
      </w:r>
      <w:r>
        <w:t xml:space="preserve">When it equals 1, emotional and neutral items receive the same encoding strength, while when it is greater than 1, emotional items are modelled as receiving extra processing during encoding.</w:t>
      </w:r>
      <w:r>
        <w:t xml:space="preserve"> </w:t>
      </w:r>
      <w:r>
        <w:t xml:space="preserve">This mechanism gives rise to the robust finding that participants who encode a mix of emotional and neutral items recall the emotional items better.</w:t>
      </w:r>
    </w:p>
    <w:p>
      <w:pPr>
        <w:pStyle w:val="BodyText"/>
      </w:pPr>
      <w:r>
        <w:t xml:space="preserve">Using an independent neural measure to model variation among items, rather than relying only on a free parameter shared by all emotional items, would provide a more specific account of emotional memory and a stronger test of the theory</w:t>
      </w:r>
      <w:r>
        <w:t xml:space="preserve"> </w:t>
      </w:r>
      <w:r>
        <w:t xml:space="preserve">(</w:t>
      </w:r>
      <w:hyperlink w:anchor="ref-turner2016more">
        <w:r>
          <w:rPr>
            <w:rStyle w:val="Hyperlink"/>
          </w:rPr>
          <w:t xml:space="preserve">Turner et al., 2016</w:t>
        </w:r>
      </w:hyperlink>
      <w:r>
        <w:t xml:space="preserve">)</w:t>
      </w:r>
      <w:r>
        <w:t xml:space="preserve">.</w:t>
      </w:r>
      <w:r>
        <w:t xml:space="preserve"> </w:t>
      </w:r>
      <w:r>
        <w:t xml:space="preserve">An excellent candidate is the late positive potential (LPP), an event-related potential (ERP) component that increases in amplitude when participants process emotionally-significant visual stimuli</w:t>
      </w:r>
      <w:r>
        <w:t xml:space="preserve"> </w:t>
      </w:r>
      <w:r>
        <w:t xml:space="preserve">(</w:t>
      </w:r>
      <w:hyperlink w:anchor="ref-cuthbert2000brain">
        <w:r>
          <w:rPr>
            <w:rStyle w:val="Hyperlink"/>
          </w:rPr>
          <w:t xml:space="preserve">Cuthbert et al., 2000</w:t>
        </w:r>
      </w:hyperlink>
      <w:r>
        <w:t xml:space="preserve">;</w:t>
      </w:r>
      <w:r>
        <w:t xml:space="preserve"> </w:t>
      </w:r>
      <w:hyperlink w:anchor="ref-hajcak2010event">
        <w:r>
          <w:rPr>
            <w:rStyle w:val="Hyperlink"/>
          </w:rPr>
          <w:t xml:space="preserve">Hajcak et al., 2010</w:t>
        </w:r>
      </w:hyperlink>
      <w:r>
        <w:t xml:space="preserve">;</w:t>
      </w:r>
      <w:r>
        <w:t xml:space="preserve"> </w:t>
      </w:r>
      <w:hyperlink w:anchor="ref-schupp2000affective">
        <w:r>
          <w:rPr>
            <w:rStyle w:val="Hyperlink"/>
          </w:rPr>
          <w:t xml:space="preserve">Schupp et al., 2000</w:t>
        </w:r>
      </w:hyperlink>
      <w:r>
        <w:t xml:space="preserve">,</w:t>
      </w:r>
      <w:r>
        <w:t xml:space="preserve"> </w:t>
      </w:r>
      <w:hyperlink w:anchor="ref-schupp2006emotion">
        <w:r>
          <w:rPr>
            <w:rStyle w:val="Hyperlink"/>
          </w:rPr>
          <w:t xml:space="preserve">2006</w:t>
        </w:r>
      </w:hyperlink>
      <w:r>
        <w:t xml:space="preserve">)</w:t>
      </w:r>
      <w:r>
        <w:t xml:space="preserve">.</w:t>
      </w:r>
      <w:r>
        <w:t xml:space="preserve"> </w:t>
      </w:r>
      <w:r>
        <w:t xml:space="preserve">Because eCMR attributes the emotional encoding advantage to preferential processing during study, and the LPP is sensitive to the enhanced processing of motivationally significant stimuli, it is natural to consider whether LPP variation can provide this item-level information.</w:t>
      </w:r>
      <w:r>
        <w:t xml:space="preserve"> </w:t>
      </w:r>
      <w:r>
        <w:t xml:space="preserve">In this project, our aim was to examine the suitability of the LPP for neuro-cognitive modelling of memory recall.</w:t>
      </w:r>
      <w:r>
        <w:t xml:space="preserve"> </w:t>
      </w:r>
      <w:r>
        <w:t xml:space="preserve">We pursued this aim in three steps.</w:t>
      </w:r>
      <w:r>
        <w:t xml:space="preserve"> </w:t>
      </w:r>
      <w:r>
        <w:t xml:space="preserve">First, we established individual-level reliability of the LPP under memory-experiment conditions.</w:t>
      </w:r>
      <w:r>
        <w:t xml:space="preserve"> </w:t>
      </w:r>
      <w:r>
        <w:t xml:space="preserve">Second, we tested whether LPP variation predicts emotional memory.</w:t>
      </w:r>
      <w:r>
        <w:t xml:space="preserve"> </w:t>
      </w:r>
      <w:r>
        <w:t xml:space="preserve">Finally, we investigated how best to incorporate the neural measure into the model.</w:t>
      </w:r>
    </w:p>
    <w:p>
      <w:pPr>
        <w:pStyle w:val="BodyText"/>
      </w:pPr>
      <w:r>
        <w:t xml:space="preserve">The LPP is broadly characterised as reflecting affective stimulus significance</w:t>
      </w:r>
      <w:r>
        <w:t xml:space="preserve"> </w:t>
      </w:r>
      <w:r>
        <w:t xml:space="preserve">(</w:t>
      </w:r>
      <w:hyperlink w:anchor="ref-hajcak2020significance">
        <w:r>
          <w:rPr>
            <w:rStyle w:val="Hyperlink"/>
          </w:rPr>
          <w:t xml:space="preserve">Hajcak &amp; Foti, 2020</w:t>
        </w:r>
      </w:hyperlink>
      <w:r>
        <w:t xml:space="preserve">;</w:t>
      </w:r>
      <w:r>
        <w:t xml:space="preserve"> </w:t>
      </w:r>
      <w:hyperlink w:anchor="ref-olofsson2008affective">
        <w:r>
          <w:rPr>
            <w:rStyle w:val="Hyperlink"/>
          </w:rPr>
          <w:t xml:space="preserve">Olofsson et al., 2008</w:t>
        </w:r>
      </w:hyperlink>
      <w:r>
        <w:t xml:space="preserve">)</w:t>
      </w:r>
      <w:r>
        <w:t xml:space="preserve">, and its emotional modulation has been observed at the group level across a range of stimuli and presentation durations.</w:t>
      </w:r>
      <w:r>
        <w:t xml:space="preserve"> </w:t>
      </w:r>
      <w:r>
        <w:t xml:space="preserve">However, for the LPP to serve as a useful candidate marker of emotional encoding, it must also differentiate emotional from neutral processing at the individual level.</w:t>
      </w:r>
      <w:r>
        <w:t xml:space="preserve"> </w:t>
      </w:r>
      <w:r>
        <w:t xml:space="preserve">Recently,</w:t>
      </w:r>
      <w:r>
        <w:t xml:space="preserve"> </w:t>
      </w:r>
      <w:r>
        <w:t xml:space="preserve">Schupp and Kirmse (</w:t>
      </w:r>
      <w:hyperlink w:anchor="ref-schupp2021case">
        <w:r>
          <w:rPr>
            <w:rStyle w:val="Hyperlink"/>
          </w:rPr>
          <w:t xml:space="preserve">2021</w:t>
        </w:r>
      </w:hyperlink>
      <w:r>
        <w:t xml:space="preserve">)</w:t>
      </w:r>
      <w:r>
        <w:t xml:space="preserve"> </w:t>
      </w:r>
      <w:r>
        <w:t xml:space="preserve">examined individual-level sensitivity to emotional content using a case-by-case approach across three studies with different emotional stimulus categories.</w:t>
      </w:r>
      <w:r>
        <w:t xml:space="preserve"> </w:t>
      </w:r>
      <w:r>
        <w:t xml:space="preserve">They observed that the LPP was larger for high- compared to low-arousing stimuli in 98% of individual-level tests, and a complementary specificity analysis confirmed that this effect was driven by emotional content rather than low-level stimulus differences.</w:t>
      </w:r>
      <w:r>
        <w:t xml:space="preserve"> </w:t>
      </w:r>
      <w:r>
        <w:t xml:space="preserve">Additionally, the emotional modulation of the LPP shows good internal consistency</w:t>
      </w:r>
      <w:r>
        <w:t xml:space="preserve"> </w:t>
      </w:r>
      <w:r>
        <w:t xml:space="preserve">(</w:t>
      </w:r>
      <w:hyperlink w:anchor="ref-moran2013psychometric">
        <w:r>
          <w:rPr>
            <w:rStyle w:val="Hyperlink"/>
          </w:rPr>
          <w:t xml:space="preserve">Moran et al., 2013</w:t>
        </w:r>
      </w:hyperlink>
      <w:r>
        <w:t xml:space="preserve">)</w:t>
      </w:r>
      <w:r>
        <w:t xml:space="preserve"> </w:t>
      </w:r>
      <w:r>
        <w:t xml:space="preserve">and is reliable within individuals across testing sessions</w:t>
      </w:r>
      <w:r>
        <w:t xml:space="preserve"> </w:t>
      </w:r>
      <w:r>
        <w:t xml:space="preserve">(</w:t>
      </w:r>
      <w:hyperlink w:anchor="ref-weinberg2021emotion">
        <w:r>
          <w:rPr>
            <w:rStyle w:val="Hyperlink"/>
          </w:rPr>
          <w:t xml:space="preserve">Weinberg et al., 2021</w:t>
        </w:r>
      </w:hyperlink>
      <w:r>
        <w:t xml:space="preserve">)</w:t>
      </w:r>
      <w:r>
        <w:t xml:space="preserve">.</w:t>
      </w:r>
    </w:p>
    <w:p>
      <w:pPr>
        <w:pStyle w:val="BodyText"/>
      </w:pPr>
      <w:r>
        <w:t xml:space="preserve">For the LPP to serve as a useful neural model input, however, the same individual-level reliability must hold under conditions typical of memory experiments.</w:t>
      </w:r>
      <w:r>
        <w:t xml:space="preserve"> </w:t>
      </w:r>
      <w:r>
        <w:t xml:space="preserve">Although emotional modulation of the LPP has been observed at the group level in intentional-encoding paradigms followed by free recall</w:t>
      </w:r>
      <w:r>
        <w:t xml:space="preserve"> </w:t>
      </w:r>
      <w:r>
        <w:t xml:space="preserve">(</w:t>
      </w:r>
      <w:hyperlink w:anchor="ref-barnacle2018context">
        <w:r>
          <w:rPr>
            <w:rStyle w:val="Hyperlink"/>
          </w:rPr>
          <w:t xml:space="preserve">Barnacle et al., 2018</w:t>
        </w:r>
      </w:hyperlink>
      <w:r>
        <w:t xml:space="preserve">;</w:t>
      </w:r>
      <w:r>
        <w:t xml:space="preserve"> </w:t>
      </w:r>
      <w:hyperlink w:anchor="ref-zarubin2020contributions">
        <w:r>
          <w:rPr>
            <w:rStyle w:val="Hyperlink"/>
          </w:rPr>
          <w:t xml:space="preserve">Zarubin et al., 2020</w:t>
        </w:r>
      </w:hyperlink>
      <w:r>
        <w:t xml:space="preserve">)</w:t>
      </w:r>
      <w:r>
        <w:t xml:space="preserve">, it is not yet known whether comparable individual-level sensitivity is preserved.</w:t>
      </w:r>
      <w:r>
        <w:t xml:space="preserve"> </w:t>
      </w:r>
      <w:r>
        <w:t xml:space="preserve">Participants in Schupp and Kirmse</w:t>
      </w:r>
      <w:r>
        <w:t xml:space="preserve"> </w:t>
      </w:r>
      <w:r>
        <w:t xml:space="preserve">(</w:t>
      </w:r>
      <w:hyperlink w:anchor="ref-schupp2021case">
        <w:r>
          <w:rPr>
            <w:rStyle w:val="Hyperlink"/>
          </w:rPr>
          <w:t xml:space="preserve">2021</w:t>
        </w:r>
      </w:hyperlink>
      <w:r>
        <w:t xml:space="preserve">)</w:t>
      </w:r>
      <w:r>
        <w:t xml:space="preserve">’s study viewed briefly-presented pictures passively.</w:t>
      </w:r>
      <w:r>
        <w:t xml:space="preserve"> </w:t>
      </w:r>
      <w:r>
        <w:t xml:space="preserve">By contrast, participants in typical memory recall experiments are aware of an upcoming memory test.</w:t>
      </w:r>
      <w:r>
        <w:t xml:space="preserve"> </w:t>
      </w:r>
      <w:r>
        <w:t xml:space="preserve">Intentional encoding instructions could attenuate or obscure the emotional modulation of the LPP in several ways.</w:t>
      </w:r>
      <w:r>
        <w:t xml:space="preserve"> </w:t>
      </w:r>
      <w:r>
        <w:t xml:space="preserve">Participants may shift attention from processing each stimulus in isolation to comparing stimuli or organising them for later recall, adopt encoding strategies that reduce processing differences between emotional and neutral items, or engage in rehearsal that redistributes attention more evenly across stimulus types.</w:t>
      </w:r>
      <w:r>
        <w:t xml:space="preserve"> </w:t>
      </w:r>
      <w:r>
        <w:t xml:space="preserve">The potential impact of an encoding</w:t>
      </w:r>
      <w:r>
        <w:t xml:space="preserve"> </w:t>
      </w:r>
      <w:r>
        <w:t xml:space="preserve">“task set”</w:t>
      </w:r>
      <w:r>
        <w:t xml:space="preserve"> </w:t>
      </w:r>
      <w:r>
        <w:t xml:space="preserve">is supported by evidence that task demands modulate emotional ERP effects</w:t>
      </w:r>
      <w:r>
        <w:t xml:space="preserve"> </w:t>
      </w:r>
      <w:r>
        <w:t xml:space="preserve">(</w:t>
      </w:r>
      <w:hyperlink w:anchor="ref-schindler2020selective">
        <w:r>
          <w:rPr>
            <w:rStyle w:val="Hyperlink"/>
          </w:rPr>
          <w:t xml:space="preserve">Schindler &amp; Straube, 2020</w:t>
        </w:r>
      </w:hyperlink>
      <w:r>
        <w:t xml:space="preserve">)</w:t>
      </w:r>
      <w:r>
        <w:t xml:space="preserve"> </w:t>
      </w:r>
      <w:r>
        <w:t xml:space="preserve">and that encoding instructions alter the organisation of recall</w:t>
      </w:r>
      <w:r>
        <w:t xml:space="preserve"> </w:t>
      </w:r>
      <w:r>
        <w:t xml:space="preserve">(</w:t>
      </w:r>
      <w:hyperlink w:anchor="ref-healey2019contiguity">
        <w:r>
          <w:rPr>
            <w:rStyle w:val="Hyperlink"/>
          </w:rPr>
          <w:t xml:space="preserve">Healey et al., 2019</w:t>
        </w:r>
      </w:hyperlink>
      <w:r>
        <w:t xml:space="preserve">)</w:t>
      </w:r>
      <w:r>
        <w:t xml:space="preserve">.</w:t>
      </w:r>
      <w:r>
        <w:t xml:space="preserve"> </w:t>
      </w:r>
      <w:r>
        <w:t xml:space="preserve">Our first aim, therefore, was to replicate Schupp and Kirmse</w:t>
      </w:r>
      <w:r>
        <w:t xml:space="preserve"> </w:t>
      </w:r>
      <w:r>
        <w:t xml:space="preserve">(</w:t>
      </w:r>
      <w:hyperlink w:anchor="ref-schupp2021case">
        <w:r>
          <w:rPr>
            <w:rStyle w:val="Hyperlink"/>
          </w:rPr>
          <w:t xml:space="preserve">2021</w:t>
        </w:r>
      </w:hyperlink>
      <w:r>
        <w:t xml:space="preserve">)</w:t>
      </w:r>
      <w:r>
        <w:t xml:space="preserve">’s findings using a setup more typical in memory research.</w:t>
      </w:r>
      <w:r>
        <w:t xml:space="preserve"> </w:t>
      </w:r>
      <w:r>
        <w:t xml:space="preserve">In addition to testing whether the LPP’s emotional modulation survives intentional encoding, a replication would increase confidence in the generality of the findings.</w:t>
      </w:r>
      <w:r>
        <w:t xml:space="preserve"> </w:t>
      </w:r>
      <w:r>
        <w:t xml:space="preserve">Relative to</w:t>
      </w:r>
      <w:r>
        <w:t xml:space="preserve"> </w:t>
      </w:r>
      <w:r>
        <w:t xml:space="preserve">Schupp and Kirmse (</w:t>
      </w:r>
      <w:hyperlink w:anchor="ref-schupp2021case">
        <w:r>
          <w:rPr>
            <w:rStyle w:val="Hyperlink"/>
          </w:rPr>
          <w:t xml:space="preserve">2021</w:t>
        </w:r>
      </w:hyperlink>
      <w:r>
        <w:t xml:space="preserve">)</w:t>
      </w:r>
      <w:r>
        <w:t xml:space="preserve">, the present study uses a different stimulus set, a longer presentation duration (2000 ms vs. 150 ms), and a larger sample (</w:t>
      </w:r>
      <w:r>
        <w:rPr>
          <w:i/>
          <w:iCs/>
        </w:rPr>
        <w:t xml:space="preserve">n</w:t>
      </w:r>
      <w:r>
        <w:t xml:space="preserve"> </w:t>
      </w:r>
      <w:r>
        <w:t xml:space="preserve">= 38 vs. </w:t>
      </w:r>
      <w:r>
        <w:rPr>
          <w:i/>
          <w:iCs/>
        </w:rPr>
        <w:t xml:space="preserve">n</w:t>
      </w:r>
      <w:r>
        <w:t xml:space="preserve"> </w:t>
      </w:r>
      <w:r>
        <w:t xml:space="preserve">= 16–18 per experiment).</w:t>
      </w:r>
    </w:p>
    <w:p>
      <w:pPr>
        <w:pStyle w:val="BodyText"/>
      </w:pPr>
      <w:r>
        <w:t xml:space="preserve">Attention and memory are typically coupled, such that when all else is held equal, increased attention during encoding increases participants’ ability to recall attended stimuli subsequently</w:t>
      </w:r>
      <w:r>
        <w:t xml:space="preserve"> </w:t>
      </w:r>
      <w:r>
        <w:t xml:space="preserve">(</w:t>
      </w:r>
      <w:hyperlink w:anchor="ref-chun2007interactions">
        <w:r>
          <w:rPr>
            <w:rStyle w:val="Hyperlink"/>
          </w:rPr>
          <w:t xml:space="preserve">Chun &amp; Turk-Browne, 2007</w:t>
        </w:r>
      </w:hyperlink>
      <w:r>
        <w:t xml:space="preserve">)</w:t>
      </w:r>
      <w:r>
        <w:t xml:space="preserve">.</w:t>
      </w:r>
      <w:r>
        <w:t xml:space="preserve"> </w:t>
      </w:r>
      <w:r>
        <w:t xml:space="preserve">Increased attention to emotional stimuli during encoding is considered a key driver of enhanced memory for these stimuli</w:t>
      </w:r>
      <w:r>
        <w:t xml:space="preserve"> </w:t>
      </w:r>
      <w:r>
        <w:t xml:space="preserve">(</w:t>
      </w:r>
      <w:hyperlink w:anchor="ref-mather2011arousal">
        <w:r>
          <w:rPr>
            <w:rStyle w:val="Hyperlink"/>
          </w:rPr>
          <w:t xml:space="preserve">Mather &amp; Sutherland, 2011</w:t>
        </w:r>
      </w:hyperlink>
      <w:r>
        <w:t xml:space="preserve">;</w:t>
      </w:r>
      <w:r>
        <w:t xml:space="preserve"> </w:t>
      </w:r>
      <w:hyperlink w:anchor="ref-talmi2013enhanced">
        <w:r>
          <w:rPr>
            <w:rStyle w:val="Hyperlink"/>
          </w:rPr>
          <w:t xml:space="preserve">Talmi, 2013</w:t>
        </w:r>
      </w:hyperlink>
      <w:r>
        <w:t xml:space="preserve">)</w:t>
      </w:r>
      <w:r>
        <w:t xml:space="preserve">.</w:t>
      </w:r>
      <w:r>
        <w:t xml:space="preserve"> </w:t>
      </w:r>
      <w:r>
        <w:t xml:space="preserve">Accordingly, previous studies report that emotional arousal increased both the LPP and memory</w:t>
      </w:r>
      <w:r>
        <w:t xml:space="preserve"> </w:t>
      </w:r>
      <w:r>
        <w:t xml:space="preserve">(</w:t>
      </w:r>
      <w:hyperlink w:anchor="ref-dolcos2002event">
        <w:r>
          <w:rPr>
            <w:rStyle w:val="Hyperlink"/>
          </w:rPr>
          <w:t xml:space="preserve">Dolcos &amp; Cabeza, 2002</w:t>
        </w:r>
      </w:hyperlink>
      <w:r>
        <w:t xml:space="preserve">;</w:t>
      </w:r>
      <w:r>
        <w:t xml:space="preserve"> </w:t>
      </w:r>
      <w:hyperlink w:anchor="ref-zarubin2020contributions">
        <w:r>
          <w:rPr>
            <w:rStyle w:val="Hyperlink"/>
          </w:rPr>
          <w:t xml:space="preserve">Zarubin et al., 2020</w:t>
        </w:r>
      </w:hyperlink>
      <w:r>
        <w:t xml:space="preserve">)</w:t>
      </w:r>
      <w:r>
        <w:t xml:space="preserve">.</w:t>
      </w:r>
      <w:r>
        <w:t xml:space="preserve"> </w:t>
      </w:r>
      <w:r>
        <w:t xml:space="preserve">Yet direct tests of whether the LPP–memory relationship is consistent within or between participants are scarce</w:t>
      </w:r>
      <w:r>
        <w:t xml:space="preserve"> </w:t>
      </w:r>
      <w:r>
        <w:t xml:space="preserve">(</w:t>
      </w:r>
      <w:hyperlink w:anchor="ref-fields2023p300">
        <w:r>
          <w:rPr>
            <w:rStyle w:val="Hyperlink"/>
          </w:rPr>
          <w:t xml:space="preserve">Fields, 2023</w:t>
        </w:r>
      </w:hyperlink>
      <w:r>
        <w:t xml:space="preserve">)</w:t>
      </w:r>
      <w:r>
        <w:t xml:space="preserve">.</w:t>
      </w:r>
      <w:r>
        <w:t xml:space="preserve"> </w:t>
      </w:r>
      <w:r>
        <w:t xml:space="preserve">Indeed,</w:t>
      </w:r>
      <w:r>
        <w:t xml:space="preserve"> </w:t>
      </w:r>
      <w:r>
        <w:t xml:space="preserve">Barnacle et al. (</w:t>
      </w:r>
      <w:hyperlink w:anchor="ref-barnacle2018context">
        <w:r>
          <w:rPr>
            <w:rStyle w:val="Hyperlink"/>
          </w:rPr>
          <w:t xml:space="preserve">2018</w:t>
        </w:r>
      </w:hyperlink>
      <w:r>
        <w:t xml:space="preserve">)</w:t>
      </w:r>
      <w:r>
        <w:t xml:space="preserve"> </w:t>
      </w:r>
      <w:r>
        <w:t xml:space="preserve">found that the emotional modulation of the LPP was equally strong in pure and mixed lists under intentional encoding conditions, while emotional memory enhancement depended on list composition.</w:t>
      </w:r>
      <w:r>
        <w:t xml:space="preserve"> </w:t>
      </w:r>
      <w:r>
        <w:t xml:space="preserve">These results suggest that attention-related LPP modulation and downstream memory advantage can be functionally dissociated.</w:t>
      </w:r>
      <w:r>
        <w:t xml:space="preserve"> </w:t>
      </w:r>
      <w:r>
        <w:t xml:space="preserve">Understanding how LPP variation relates to memory within a mechanistic model may help bridge this gap.</w:t>
      </w:r>
    </w:p>
    <w:p>
      <w:pPr>
        <w:pStyle w:val="BodyText"/>
      </w:pPr>
      <w:r>
        <w:t xml:space="preserve">If we can establish that the LPP is reliable enough on the individual-level, the second step would be to differentiate participant-level, list-level and item-level relationship between the LPP and subsequent memory.</w:t>
      </w:r>
      <w:r>
        <w:t xml:space="preserve"> </w:t>
      </w:r>
      <w:r>
        <w:t xml:space="preserve">The relationship between LPP at encoding and subsequent memory could depend on the level of analysis.</w:t>
      </w:r>
      <w:r>
        <w:t xml:space="preserve"> </w:t>
      </w:r>
      <w:r>
        <w:t xml:space="preserve">At the between-participant level, individuals with larger emotion-dependent LPP increases may exhibit larger emotion-dependent memory enhancement.</w:t>
      </w:r>
      <w:r>
        <w:t xml:space="preserve"> </w:t>
      </w:r>
      <w:r>
        <w:t xml:space="preserve">At the within-participant level, emotion may enhance memory most for study lists where encoding emotional items was accompanied by a larger LPP.</w:t>
      </w:r>
      <w:r>
        <w:t xml:space="preserve"> </w:t>
      </w:r>
      <w:r>
        <w:t xml:space="preserve">A dissociation between within- and between-participant effects in ERPs has been demonstrated for the left parietal old-new effect, where robust within-participant effects were observed despite null between-participant effects</w:t>
      </w:r>
      <w:r>
        <w:t xml:space="preserve"> </w:t>
      </w:r>
      <w:r>
        <w:t xml:space="preserve">(</w:t>
      </w:r>
      <w:hyperlink w:anchor="ref-macleod2017left">
        <w:r>
          <w:rPr>
            <w:rStyle w:val="Hyperlink"/>
          </w:rPr>
          <w:t xml:space="preserve">MacLeod &amp; Donaldson, 2017</w:t>
        </w:r>
      </w:hyperlink>
      <w:r>
        <w:t xml:space="preserve">)</w:t>
      </w:r>
      <w:r>
        <w:t xml:space="preserve">.</w:t>
      </w:r>
      <w:r>
        <w:t xml:space="preserve"> </w:t>
      </w:r>
      <w:r>
        <w:t xml:space="preserve">Finally, averaging across participants or lists could weaken the relationship between the LPP and emotion-enhanced memory, and an analysis at the level of the single trial may be necessary.</w:t>
      </w:r>
      <w:r>
        <w:t xml:space="preserve"> </w:t>
      </w:r>
      <w:r>
        <w:t xml:space="preserve">Practically, however, the LPP may be too noisy at the single-trial level to be useful for modelling purposes.</w:t>
      </w:r>
      <w:r>
        <w:t xml:space="preserve"> </w:t>
      </w:r>
      <w:r>
        <w:t xml:space="preserve">Nevertheless, to add the LPP to eCMR it is necessary to establish whether the relation between the LPP and emotion-enhanced memory is better captured at the single-trial level, when averaged over items in a list, or over the entire session.</w:t>
      </w:r>
    </w:p>
    <w:p>
      <w:pPr>
        <w:pStyle w:val="BodyText"/>
      </w:pPr>
      <w:r>
        <w:t xml:space="preserve">If the second step is successful, and we establish not only that the LPP is a reliable signal but also the level at which its relationship to memory holds, the final step is to investigate how best to deploy this signal as a model input, to improve the ability of the model to predict memory recall.</w:t>
      </w:r>
      <w:r>
        <w:t xml:space="preserve"> </w:t>
      </w:r>
      <w:r>
        <w:t xml:space="preserve">We therefore compared variants of eCMR in which preferential learning of emotional items and the LPP could make separate contributions to encoding strength.</w:t>
      </w:r>
      <w:r>
        <w:t xml:space="preserve"> </w:t>
      </w:r>
      <w:r>
        <w:t xml:space="preserve">The model comparison assessed whether including the LPP improved prediction of which items were recalled, whether LPP-based modulation substituted for or complemented category-wide preferential learning of all emotional items, and whether the LPP–recall relationship was shared across emotional and neutral items or specific to emotional items.</w:t>
      </w:r>
    </w:p>
    <w:p>
      <w:pPr>
        <w:pStyle w:val="BodyText"/>
      </w:pPr>
      <w:r>
        <w:rPr>
          <w:b/>
          <w:bCs/>
        </w:rPr>
        <w:t xml:space="preserve">Method</w:t>
      </w:r>
    </w:p>
    <w:bookmarkEnd w:id="22"/>
    <w:bookmarkStart w:id="33" w:name="empirical-investigation"/>
    <w:p>
      <w:pPr>
        <w:pStyle w:val="Heading2"/>
      </w:pPr>
      <w:r>
        <w:t xml:space="preserve">Empirical investigation</w:t>
      </w:r>
    </w:p>
    <w:p>
      <w:pPr>
        <w:pStyle w:val="FirstParagraph"/>
      </w:pPr>
      <w:r>
        <w:t xml:space="preserve">We report a secondary data analysis of data from Zarubin et al.</w:t>
      </w:r>
      <w:r>
        <w:t xml:space="preserve"> </w:t>
      </w:r>
      <w:r>
        <w:t xml:space="preserve">(</w:t>
      </w:r>
      <w:hyperlink w:anchor="ref-zarubin2020contributions">
        <w:r>
          <w:rPr>
            <w:rStyle w:val="Hyperlink"/>
          </w:rPr>
          <w:t xml:space="preserve">2020</w:t>
        </w:r>
      </w:hyperlink>
      <w:r>
        <w:t xml:space="preserve">)</w:t>
      </w:r>
      <w:r>
        <w:t xml:space="preserve">.</w:t>
      </w:r>
      <w:r>
        <w:t xml:space="preserve"> </w:t>
      </w:r>
      <w:r>
        <w:t xml:space="preserve">We re-analysed data from their mixed list condition (</w:t>
      </w:r>
      <w:hyperlink w:anchor="fig-experimental-procedure">
        <w:r>
          <w:rPr>
            <w:rStyle w:val="Hyperlink"/>
          </w:rPr>
          <w:t xml:space="preserve">Figure 1</w:t>
        </w:r>
      </w:hyperlink>
      <w:r>
        <w:t xml:space="preserve">), where participants encoded neutral items and negative, arousing items (referred to as</w:t>
      </w:r>
      <w:r>
        <w:t xml:space="preserve"> </w:t>
      </w:r>
      <w:r>
        <w:t xml:space="preserve">‘emotional items’</w:t>
      </w:r>
      <w:r>
        <w:t xml:space="preserve"> </w:t>
      </w:r>
      <w:r>
        <w:t xml:space="preserve">below).</w:t>
      </w:r>
      <w:r>
        <w:t xml:space="preserve"> </w:t>
      </w:r>
      <w:r>
        <w:t xml:space="preserve">After encoding each list, participants were asked to describe the items they could recall to the experimenter.</w:t>
      </w:r>
      <w:r>
        <w:t xml:space="preserve"> </w:t>
      </w:r>
      <w:r>
        <w:t xml:space="preserve">Zarubin and colleagues reported that emotional items were recalled more frequently than neutral ones.</w:t>
      </w:r>
      <w:r>
        <w:t xml:space="preserve"> </w:t>
      </w:r>
      <w:r>
        <w:t xml:space="preserve">We classified items by their subsequent memory status as recalled or forgotten, with a resulting experimental design crossing the factors Emotion and Subsequent memory.</w:t>
      </w:r>
      <w:r>
        <w:t xml:space="preserve"> </w:t>
      </w:r>
      <w:r>
        <w:t xml:space="preserve">A more detailed description of the methods in the original experiment is provided in the original paper.</w:t>
      </w:r>
    </w:p>
    <w:bookmarkStart w:id="23" w:name="participants"/>
    <w:p>
      <w:pPr>
        <w:pStyle w:val="Heading3"/>
      </w:pPr>
      <w:r>
        <w:t xml:space="preserve">Participants</w:t>
      </w:r>
    </w:p>
    <w:p>
      <w:pPr>
        <w:pStyle w:val="FirstParagraph"/>
      </w:pPr>
      <w:r>
        <w:t xml:space="preserve">We analysed data from the forty participants included in the mixed condition in Zarubin et al.</w:t>
      </w:r>
      <w:r>
        <w:t xml:space="preserve"> </w:t>
      </w:r>
      <w:r>
        <w:t xml:space="preserve">(</w:t>
      </w:r>
      <w:hyperlink w:anchor="ref-zarubin2020contributions">
        <w:r>
          <w:rPr>
            <w:rStyle w:val="Hyperlink"/>
          </w:rPr>
          <w:t xml:space="preserve">2020</w:t>
        </w:r>
      </w:hyperlink>
      <w:r>
        <w:t xml:space="preserve">)</w:t>
      </w:r>
      <w:r>
        <w:t xml:space="preserve">.</w:t>
      </w:r>
      <w:r>
        <w:t xml:space="preserve"> </w:t>
      </w:r>
      <w:r>
        <w:t xml:space="preserve">We excluded one participant who did not have data from three lists and one participant who had fewer than 16 trials in one of the conditions after EEG preprocessing.</w:t>
      </w:r>
      <w:r>
        <w:t xml:space="preserve"> </w:t>
      </w:r>
      <w:r>
        <w:t xml:space="preserve">The final sample consisted of 38 participants (28 females,</w:t>
      </w:r>
      <w:r>
        <w:t xml:space="preserve"> </w:t>
      </w:r>
      <w:r>
        <w:rPr>
          <w:i/>
          <w:iCs/>
        </w:rPr>
        <w:t xml:space="preserve">M</w:t>
      </w:r>
      <w:r>
        <w:rPr>
          <w:vertAlign w:val="subscript"/>
        </w:rPr>
        <w:t xml:space="preserve">age</w:t>
      </w:r>
      <w:r>
        <w:t xml:space="preserve"> </w:t>
      </w:r>
      <w:r>
        <w:t xml:space="preserve">= 20,</w:t>
      </w:r>
      <w:r>
        <w:t xml:space="preserve"> </w:t>
      </w:r>
      <w:r>
        <w:rPr>
          <w:i/>
          <w:iCs/>
        </w:rPr>
        <w:t xml:space="preserve">SD</w:t>
      </w:r>
      <w:r>
        <w:rPr>
          <w:vertAlign w:val="subscript"/>
        </w:rPr>
        <w:t xml:space="preserve">age</w:t>
      </w:r>
      <w:r>
        <w:t xml:space="preserve"> </w:t>
      </w:r>
      <w:r>
        <w:t xml:space="preserve">= 1.07).</w:t>
      </w:r>
      <w:r>
        <w:t xml:space="preserve"> </w:t>
      </w:r>
      <w:r>
        <w:t xml:space="preserve">Gender and age data was missing for one of the participants.</w:t>
      </w:r>
      <w:r>
        <w:t xml:space="preserve"> </w:t>
      </w:r>
      <w:r>
        <w:t xml:space="preserve">All participants provided written informed consent and the experiment was approved by Wofford College Institutional Review Board</w:t>
      </w:r>
      <w:r>
        <w:t xml:space="preserve"> </w:t>
      </w:r>
      <w:r>
        <w:t xml:space="preserve">(</w:t>
      </w:r>
      <w:hyperlink w:anchor="ref-zarubin2020contributions">
        <w:r>
          <w:rPr>
            <w:rStyle w:val="Hyperlink"/>
          </w:rPr>
          <w:t xml:space="preserve">Zarubin et al., 2020</w:t>
        </w:r>
      </w:hyperlink>
      <w:r>
        <w:t xml:space="preserve">)</w:t>
      </w:r>
      <w:r>
        <w:t xml:space="preserve">.</w:t>
      </w:r>
    </w:p>
    <w:bookmarkEnd w:id="23"/>
    <w:bookmarkStart w:id="24" w:name="materials"/>
    <w:p>
      <w:pPr>
        <w:pStyle w:val="Heading3"/>
      </w:pPr>
      <w:r>
        <w:t xml:space="preserve">Materials</w:t>
      </w:r>
    </w:p>
    <w:p>
      <w:pPr>
        <w:pStyle w:val="FirstParagraph"/>
      </w:pPr>
      <w:r>
        <w:t xml:space="preserve">There were 22 pictures in each list and a total of nine lists.</w:t>
      </w:r>
      <w:r>
        <w:t xml:space="preserve"> </w:t>
      </w:r>
      <w:r>
        <w:t xml:space="preserve">The first two pictures were used as fillers to control for primacy effects and were excluded from data analysis.</w:t>
      </w:r>
      <w:r>
        <w:t xml:space="preserve"> </w:t>
      </w:r>
      <w:r>
        <w:t xml:space="preserve">The pictures were selected from the International Affective Picture System</w:t>
      </w:r>
      <w:r>
        <w:t xml:space="preserve"> </w:t>
      </w:r>
      <w:r>
        <w:t xml:space="preserve">(</w:t>
      </w:r>
      <w:hyperlink w:anchor="ref-lang2005international">
        <w:r>
          <w:rPr>
            <w:rStyle w:val="Hyperlink"/>
          </w:rPr>
          <w:t xml:space="preserve">Lang et al., 2005</w:t>
        </w:r>
      </w:hyperlink>
      <w:r>
        <w:t xml:space="preserve">)</w:t>
      </w:r>
      <w:r>
        <w:t xml:space="preserve">, the Geneva Affective Picture Database</w:t>
      </w:r>
      <w:r>
        <w:t xml:space="preserve"> </w:t>
      </w:r>
      <w:r>
        <w:t xml:space="preserve">(</w:t>
      </w:r>
      <w:hyperlink w:anchor="ref-danglauser2011geneva">
        <w:r>
          <w:rPr>
            <w:rStyle w:val="Hyperlink"/>
          </w:rPr>
          <w:t xml:space="preserve">Dan-Glauser &amp; Scherer, 2011</w:t>
        </w:r>
      </w:hyperlink>
      <w:r>
        <w:t xml:space="preserve">)</w:t>
      </w:r>
      <w:r>
        <w:t xml:space="preserve">, the Emotional Picture Set</w:t>
      </w:r>
      <w:r>
        <w:t xml:space="preserve"> </w:t>
      </w:r>
      <w:r>
        <w:t xml:space="preserve">(</w:t>
      </w:r>
      <w:hyperlink w:anchor="ref-wessa2010emopics">
        <w:r>
          <w:rPr>
            <w:rStyle w:val="Hyperlink"/>
          </w:rPr>
          <w:t xml:space="preserve">Wessa et al., 2010</w:t>
        </w:r>
      </w:hyperlink>
      <w:r>
        <w:t xml:space="preserve">)</w:t>
      </w:r>
      <w:r>
        <w:t xml:space="preserve">, the image pool of Talmi et al.</w:t>
      </w:r>
      <w:r>
        <w:t xml:space="preserve"> </w:t>
      </w:r>
      <w:r>
        <w:t xml:space="preserve">(</w:t>
      </w:r>
      <w:hyperlink w:anchor="ref-talmi2007contribution">
        <w:r>
          <w:rPr>
            <w:rStyle w:val="Hyperlink"/>
          </w:rPr>
          <w:t xml:space="preserve">2007</w:t>
        </w:r>
      </w:hyperlink>
      <w:r>
        <w:t xml:space="preserve">)</w:t>
      </w:r>
      <w:r>
        <w:t xml:space="preserve"> </w:t>
      </w:r>
      <w:r>
        <w:t xml:space="preserve">and Google Images.</w:t>
      </w:r>
      <w:r>
        <w:t xml:space="preserve"> </w:t>
      </w:r>
      <w:r>
        <w:t xml:space="preserve">The pictures were either of negative valence or neutral valence.</w:t>
      </w:r>
      <w:r>
        <w:t xml:space="preserve"> </w:t>
      </w:r>
      <w:r>
        <w:t xml:space="preserve">The neutral condition was divided into semantically unrelated and semantically related neutral pictures in the original study, but they were collapsed in this secondary data analysis to increase the number of trials in the neutral condition.</w:t>
      </w:r>
    </w:p>
    <w:bookmarkEnd w:id="24"/>
    <w:bookmarkStart w:id="25" w:name="procedure"/>
    <w:p>
      <w:pPr>
        <w:pStyle w:val="Heading3"/>
      </w:pPr>
      <w:r>
        <w:t xml:space="preserve">Procedure</w:t>
      </w:r>
    </w:p>
    <w:p>
      <w:pPr>
        <w:pStyle w:val="FirstParagraph"/>
      </w:pPr>
      <w:r>
        <w:t xml:space="preserve">The participants studied 22 pictures shown consecutively on the screen for 2000 ms with a 4000 ms inter-trial interval, intended to reduce emotional carryover effects</w:t>
      </w:r>
      <w:r>
        <w:t xml:space="preserve"> </w:t>
      </w:r>
      <w:r>
        <w:t xml:space="preserve">(</w:t>
      </w:r>
      <w:hyperlink w:anchor="ref-talmi2012accounting">
        <w:r>
          <w:rPr>
            <w:rStyle w:val="Hyperlink"/>
          </w:rPr>
          <w:t xml:space="preserve">Talmi &amp; McGarry, 2012</w:t>
        </w:r>
      </w:hyperlink>
      <w:r>
        <w:t xml:space="preserve">)</w:t>
      </w:r>
      <w:r>
        <w:t xml:space="preserve">.</w:t>
      </w:r>
      <w:r>
        <w:t xml:space="preserve"> </w:t>
      </w:r>
      <w:r>
        <w:t xml:space="preserve">The presentation order of both the lists and the images within lists was randomised.</w:t>
      </w:r>
      <w:r>
        <w:t xml:space="preserve"> </w:t>
      </w:r>
      <w:r>
        <w:t xml:space="preserve">A one-minute arithmetic distracter task followed immediately after the study task to reduce rehearsal of the pictures and recency effects.</w:t>
      </w:r>
      <w:r>
        <w:t xml:space="preserve"> </w:t>
      </w:r>
      <w:r>
        <w:t xml:space="preserve">A verbal recall test followed the distracter task.</w:t>
      </w:r>
      <w:r>
        <w:t xml:space="preserve"> </w:t>
      </w:r>
      <w:r>
        <w:t xml:space="preserve">The participants were instructed to recall images only from the list that they had just seen.</w:t>
      </w:r>
      <w:r>
        <w:t xml:space="preserve"> </w:t>
      </w:r>
      <w:r>
        <w:t xml:space="preserve">The participants had three minutes to recall the images from the study phase but could stop sooner if they had no more items to report.</w:t>
      </w:r>
    </w:p>
    <w:bookmarkEnd w:id="25"/>
    <w:bookmarkStart w:id="26" w:name="eeg-pre-processing"/>
    <w:p>
      <w:pPr>
        <w:pStyle w:val="Heading3"/>
      </w:pPr>
      <w:r>
        <w:t xml:space="preserve">EEG pre-processing</w:t>
      </w:r>
    </w:p>
    <w:p>
      <w:pPr>
        <w:pStyle w:val="FirstParagraph"/>
      </w:pPr>
      <w:r>
        <w:t xml:space="preserve">Raw EEG files were downloaded from the open science framework page for the Zarubin et al.</w:t>
      </w:r>
      <w:r>
        <w:t xml:space="preserve"> </w:t>
      </w:r>
      <w:r>
        <w:t xml:space="preserve">(</w:t>
      </w:r>
      <w:hyperlink w:anchor="ref-zarubin2020contributions">
        <w:r>
          <w:rPr>
            <w:rStyle w:val="Hyperlink"/>
          </w:rPr>
          <w:t xml:space="preserve">2020</w:t>
        </w:r>
      </w:hyperlink>
      <w:r>
        <w:t xml:space="preserve">)</w:t>
      </w:r>
      <w:r>
        <w:t xml:space="preserve"> </w:t>
      </w:r>
      <w:r>
        <w:t xml:space="preserve">study.</w:t>
      </w:r>
      <w:r>
        <w:t xml:space="preserve"> </w:t>
      </w:r>
      <w:r>
        <w:t xml:space="preserve">The EEG was pre-processed with the EEGLAB toolbox in MATLAB</w:t>
      </w:r>
      <w:r>
        <w:t xml:space="preserve"> </w:t>
      </w:r>
      <w:r>
        <w:t xml:space="preserve">(</w:t>
      </w:r>
      <w:hyperlink w:anchor="ref-delorme2004eeglab">
        <w:r>
          <w:rPr>
            <w:rStyle w:val="Hyperlink"/>
          </w:rPr>
          <w:t xml:space="preserve">Delorme &amp; Makeig, 2004</w:t>
        </w:r>
      </w:hyperlink>
      <w:r>
        <w:t xml:space="preserve">)</w:t>
      </w:r>
      <w:r>
        <w:t xml:space="preserve"> </w:t>
      </w:r>
      <w:r>
        <w:t xml:space="preserve">using a standard semi-automated pipeline</w:t>
      </w:r>
      <w:r>
        <w:t xml:space="preserve"> </w:t>
      </w:r>
      <w:r>
        <w:t xml:space="preserve">(for a similar preprocessing pipeline see</w:t>
      </w:r>
      <w:r>
        <w:t xml:space="preserve"> </w:t>
      </w:r>
      <w:hyperlink w:anchor="ref-hellerstedt2023can">
        <w:r>
          <w:rPr>
            <w:rStyle w:val="Hyperlink"/>
          </w:rPr>
          <w:t xml:space="preserve">Hellerstedt et al., 2023</w:t>
        </w:r>
      </w:hyperlink>
      <w:r>
        <w:t xml:space="preserve">)</w:t>
      </w:r>
      <w:r>
        <w:t xml:space="preserve">.</w:t>
      </w:r>
      <w:r>
        <w:t xml:space="preserve"> </w:t>
      </w:r>
      <w:r>
        <w:t xml:space="preserve">The data was re-referenced offline to the average of the left and right mastoid electrodes and filtered between 0.1 and 40Hz with a band pass FIR filter.</w:t>
      </w:r>
      <w:r>
        <w:t xml:space="preserve"> </w:t>
      </w:r>
      <w:r>
        <w:t xml:space="preserve">The data was time-locked to the stimulus and segmented into epochs from −2000 ms to 3000 ms post stimulus onset.</w:t>
      </w:r>
      <w:r>
        <w:t xml:space="preserve"> </w:t>
      </w:r>
      <w:r>
        <w:t xml:space="preserve">The epochs were baseline corrected using a pre-stimulus time window from −200 ms to 0 ms.</w:t>
      </w:r>
      <w:r>
        <w:t xml:space="preserve"> </w:t>
      </w:r>
      <w:r>
        <w:t xml:space="preserve">Customized threshold functions from the FASTER toolbox</w:t>
      </w:r>
      <w:r>
        <w:t xml:space="preserve"> </w:t>
      </w:r>
      <w:r>
        <w:t xml:space="preserve">(</w:t>
      </w:r>
      <w:hyperlink w:anchor="ref-nolan2010faster">
        <w:r>
          <w:rPr>
            <w:rStyle w:val="Hyperlink"/>
          </w:rPr>
          <w:t xml:space="preserve">Nolan et al., 2010</w:t>
        </w:r>
      </w:hyperlink>
      <w:r>
        <w:t xml:space="preserve">)</w:t>
      </w:r>
      <w:r>
        <w:t xml:space="preserve"> </w:t>
      </w:r>
      <w:r>
        <w:t xml:space="preserve">were used to detect and reject bad channels and bad epochs based on participant-level z-transformed values over trials and electrodes that exceeded</w:t>
      </w:r>
      <w:r>
        <w:t xml:space="preserve"> </w:t>
      </w:r>
      <m:oMath>
        <m:r>
          <m:rPr>
            <m:sty m:val="p"/>
          </m:rPr>
          <m:t>±</m:t>
        </m:r>
        <m:r>
          <m:t>3</m:t>
        </m:r>
      </m:oMath>
      <w:r>
        <w:t xml:space="preserve">.</w:t>
      </w:r>
      <w:r>
        <w:t xml:space="preserve"> </w:t>
      </w:r>
      <w:r>
        <w:t xml:space="preserve">Independent component analysis was used to correct for EOG artefacts, by manually removing components classified as blinks, horizontal or vertical eye-movements.</w:t>
      </w:r>
      <w:r>
        <w:t xml:space="preserve"> </w:t>
      </w:r>
      <w:r>
        <w:t xml:space="preserve">Bad channels which were deleted prior to ICA were interpolated after the ICA cleaning.</w:t>
      </w:r>
      <w:r>
        <w:t xml:space="preserve"> </w:t>
      </w:r>
      <w:r>
        <w:t xml:space="preserve">In addition, bad channels within single epochs were detected and interpolated with a criterion of</w:t>
      </w:r>
      <w:r>
        <w:t xml:space="preserve"> </w:t>
      </w:r>
      <m:oMath>
        <m:r>
          <m:rPr>
            <m:sty m:val="p"/>
          </m:rPr>
          <m:t>±</m:t>
        </m:r>
        <m:r>
          <m:t>3</m:t>
        </m:r>
      </m:oMath>
      <w:r>
        <w:t xml:space="preserve"> </w:t>
      </w:r>
      <w:r>
        <w:t xml:space="preserve">SD.</w:t>
      </w:r>
      <w:r>
        <w:t xml:space="preserve"> </w:t>
      </w:r>
      <w:r>
        <w:t xml:space="preserve">All participants contributed at least 16 trials in each of the four ERP conditions.</w:t>
      </w:r>
      <w:r>
        <w:t xml:space="preserve"> </w:t>
      </w:r>
      <w:r>
        <w:t xml:space="preserve">The mean number of trials was 30.7 (</w:t>
      </w:r>
      <w:r>
        <w:rPr>
          <w:i/>
          <w:iCs/>
        </w:rPr>
        <w:t xml:space="preserve">SD</w:t>
      </w:r>
      <w:r>
        <w:t xml:space="preserve"> </w:t>
      </w:r>
      <w:r>
        <w:t xml:space="preserve">= 6.08) in the negative remembered condition, 26.1 (</w:t>
      </w:r>
      <w:r>
        <w:rPr>
          <w:i/>
          <w:iCs/>
        </w:rPr>
        <w:t xml:space="preserve">SD</w:t>
      </w:r>
      <w:r>
        <w:t xml:space="preserve"> </w:t>
      </w:r>
      <w:r>
        <w:t xml:space="preserve">= 5.54) in the negative forgotten condition, 48 (</w:t>
      </w:r>
      <w:r>
        <w:rPr>
          <w:i/>
          <w:iCs/>
        </w:rPr>
        <w:t xml:space="preserve">SD</w:t>
      </w:r>
      <w:r>
        <w:t xml:space="preserve"> </w:t>
      </w:r>
      <w:r>
        <w:t xml:space="preserve">= 15.33) in the neutral remembered condition and 66.5 (</w:t>
      </w:r>
      <w:r>
        <w:rPr>
          <w:i/>
          <w:iCs/>
        </w:rPr>
        <w:t xml:space="preserve">SD</w:t>
      </w:r>
      <w:r>
        <w:t xml:space="preserve"> </w:t>
      </w:r>
      <w:r>
        <w:t xml:space="preserve">= 16.93) in the neutral forgotten condition after pre-processing.</w:t>
      </w:r>
      <w:r>
        <w:t xml:space="preserve"> </w:t>
      </w:r>
      <w:r>
        <w:t xml:space="preserve">Trials that were rejected during EEG preprocessing were excluded from the behavioural analyses as well to ensure that the EEG and behavioural data contained the same trials and to increase the chance of finding a relation between the two measures.</w:t>
      </w:r>
    </w:p>
    <w:bookmarkEnd w:id="26"/>
    <w:bookmarkStart w:id="29" w:name="data-analysis"/>
    <w:p>
      <w:pPr>
        <w:pStyle w:val="Heading3"/>
      </w:pPr>
      <w:r>
        <w:t xml:space="preserve">Data Analysis</w:t>
      </w:r>
    </w:p>
    <w:p>
      <w:pPr>
        <w:pStyle w:val="Heading4"/>
        <w:rPr>
          <w:vanish/>
          <w:specVanish/>
        </w:rPr>
      </w:pPr>
      <w:r>
        <w:t>Behavioural analysis.</w:t>
      </w:r>
      <w:r>
        <w:t xml:space="preserve"> </w:t>
      </w:r>
    </w:p>
    <w:p>
      <w:pPr>
        <w:pStyle w:val="FirstParagraph"/>
      </w:pPr>
      <w:r>
        <w:t xml:space="preserve"> We investigated whether there was an emotion enhanced memory effect by comparing the proportion of negative items recalled and the proportion of neutral items recalled with a paired</w:t>
      </w:r>
      <w:r>
        <w:t xml:space="preserve"> </w:t>
      </w:r>
      <w:r>
        <w:rPr>
          <w:i/>
          <w:iCs/>
        </w:rPr>
        <w:t xml:space="preserve">t</w:t>
      </w:r>
      <w:r>
        <w:t xml:space="preserve">-test.</w:t>
      </w:r>
      <w:r>
        <w:t xml:space="preserve"> </w:t>
      </w:r>
      <w:r>
        <w:t xml:space="preserve">Zarubin et al.</w:t>
      </w:r>
      <w:r>
        <w:t xml:space="preserve"> </w:t>
      </w:r>
      <w:r>
        <w:t xml:space="preserve">(</w:t>
      </w:r>
      <w:hyperlink w:anchor="ref-zarubin2020contributions">
        <w:r>
          <w:rPr>
            <w:rStyle w:val="Hyperlink"/>
          </w:rPr>
          <w:t xml:space="preserve">2020</w:t>
        </w:r>
      </w:hyperlink>
      <w:r>
        <w:t xml:space="preserve">)</w:t>
      </w:r>
      <w:r>
        <w:t xml:space="preserve"> </w:t>
      </w:r>
      <w:r>
        <w:t xml:space="preserve">included two neutral conditions (semantically related and semantically unrelated pictures), so this analysis confirmed that the emotion-enhanced memory effect was still present once these conditions were collapsed.</w:t>
      </w:r>
    </w:p>
    <w:p>
      <w:pPr>
        <w:pStyle w:val="Heading4"/>
        <w:rPr>
          <w:vanish/>
          <w:specVanish/>
        </w:rPr>
      </w:pPr>
      <w:r>
        <w:t>Focal ERP Analysis.</w:t>
      </w:r>
      <w:r>
        <w:t xml:space="preserve"> </w:t>
      </w:r>
    </w:p>
    <w:p>
      <w:pPr>
        <w:pStyle w:val="BodyText"/>
      </w:pPr>
      <w:r>
        <w:t xml:space="preserve"> The purpose of this analysis was to replicate the LPP ERP effect.</w:t>
      </w:r>
      <w:r>
        <w:t xml:space="preserve"> </w:t>
      </w:r>
      <w:r>
        <w:t xml:space="preserve">We analysed the electrodes and time windows where the LPP is typically maximal in the literature.</w:t>
      </w:r>
      <w:r>
        <w:t xml:space="preserve"> </w:t>
      </w:r>
      <w:r>
        <w:t xml:space="preserve">Averaged EEG amplitude was extracted from four centroparietal electrodes, Cz, CP1, CP2 and Pz, in an early time window between 400–1000 ms and a late time window between 1000–2000 ms post stimulus onset.</w:t>
      </w:r>
      <w:r>
        <w:t xml:space="preserve"> </w:t>
      </w:r>
      <w:r>
        <w:t xml:space="preserve">Below we refer to these data as early and late LPP amplitude, respectively.</w:t>
      </w:r>
      <w:r>
        <w:t xml:space="preserve"> </w:t>
      </w:r>
      <w:r>
        <w:t xml:space="preserve">We extracted the EEG amplitudes separately for subsequently remembered and subsequently forgotten trials for both the negative and the neutral condition.</w:t>
      </w:r>
      <w:r>
        <w:t xml:space="preserve"> </w:t>
      </w:r>
      <w:r>
        <w:t xml:space="preserve">EEG amplitudes were z-transformed against the mean and standard deviation of the −200 to 0 ms pre-stimulus interval.</w:t>
      </w:r>
      <w:r>
        <w:t xml:space="preserve"> </w:t>
      </w:r>
      <w:r>
        <w:t xml:space="preserve">Standardisation was performed at the single-trial level, separately for each electrode.</w:t>
      </w:r>
      <w:r>
        <w:t xml:space="preserve"> </w:t>
      </w:r>
      <w:r>
        <w:t xml:space="preserve">The z-transformed LPP was then extracted for both the early and the late time window from the same centro-parietal electrodes used in the focal ERP analysis.</w:t>
      </w:r>
      <w:r>
        <w:t xml:space="preserve"> </w:t>
      </w:r>
      <w:r>
        <w:t xml:space="preserve">We refer to these data below as the standardised LPP amplitudes.</w:t>
      </w:r>
      <w:r>
        <w:t xml:space="preserve"> </w:t>
      </w:r>
      <w:r>
        <w:t xml:space="preserve">All mixed effects model analyses were conducted using the lme4 package in R</w:t>
      </w:r>
      <w:r>
        <w:t xml:space="preserve"> </w:t>
      </w:r>
      <w:r>
        <w:t xml:space="preserve">(</w:t>
      </w:r>
      <w:hyperlink w:anchor="ref-bates2015lme4">
        <w:r>
          <w:rPr>
            <w:rStyle w:val="Hyperlink"/>
          </w:rPr>
          <w:t xml:space="preserve">Bates et al., 2015</w:t>
        </w:r>
      </w:hyperlink>
      <w:r>
        <w:t xml:space="preserve">)</w:t>
      </w:r>
      <w:r>
        <w:t xml:space="preserve">.</w:t>
      </w:r>
    </w:p>
    <w:p>
      <w:pPr>
        <w:pStyle w:val="BodyText"/>
      </w:pPr>
      <w:r>
        <w:t xml:space="preserve">We first performed a linear mixed effects model to analyse if LPP amplitude was predicted by emotion and subsequent memory.</w:t>
      </w:r>
      <w:r>
        <w:t xml:space="preserve"> </w:t>
      </w:r>
      <w:r>
        <w:t xml:space="preserve">In this model we used LPP amplitude as the dependent variable, Emotion (Negative vs Neutral) and Subsequent memory (Remembered vs Forgotten) as fixed effects, and random intercept + random slope effects of participant.</w:t>
      </w:r>
      <w:r>
        <w:t xml:space="preserve"> </w:t>
      </w:r>
      <w:r>
        <w:t xml:space="preserve">The formula was:</w:t>
      </w:r>
    </w:p>
    <w:p>
      <w:pPr>
        <w:pStyle w:val="BodyText"/>
      </w:pPr>
      <w:bookmarkStart w:id="27" w:name="eq-empirical-lpp-amplitude"/>
      <m:oMathPara>
        <m:oMathParaPr>
          <m:jc m:val="center"/>
        </m:oMathParaPr>
        <m:oMath>
          <m:r>
            <m:rPr>
              <m:nor/>
              <m:sty m:val="p"/>
            </m:rPr>
            <m:t>LPP amplitude (z)</m:t>
          </m:r>
          <m:r>
            <m:rPr>
              <m:sty m:val="p"/>
            </m:rPr>
            <m:t>∼</m:t>
          </m:r>
          <m:r>
            <m:t>1</m:t>
          </m:r>
          <m:r>
            <m:rPr>
              <m:sty m:val="p"/>
            </m:rPr>
            <m:t>+</m:t>
          </m:r>
          <m:r>
            <m:rPr>
              <m:nor/>
              <m:sty m:val="p"/>
            </m:rPr>
            <m:t>Emotion</m:t>
          </m:r>
          <m:r>
            <m:rPr>
              <m:sty m:val="p"/>
            </m:rPr>
            <m:t>×</m:t>
          </m:r>
          <m:r>
            <m:rPr>
              <m:nor/>
              <m:sty m:val="p"/>
            </m:rPr>
            <m:t>Memory</m:t>
          </m:r>
          <m:r>
            <m:rPr>
              <m:sty m:val="p"/>
            </m:rPr>
            <m:t>+</m:t>
          </m:r>
          <m:d>
            <m:dPr>
              <m:begChr m:val="("/>
              <m:sepChr m:val=""/>
              <m:endChr m:val=")"/>
              <m:grow/>
            </m:dPr>
            <m:e>
              <m:r>
                <m:t>1</m:t>
              </m:r>
              <m:r>
                <m:rPr>
                  <m:sty m:val="p"/>
                </m:rPr>
                <m:t>+</m:t>
              </m:r>
              <m:r>
                <m:rPr>
                  <m:nor/>
                  <m:sty m:val="p"/>
                </m:rPr>
                <m:t>Emotion</m:t>
              </m:r>
              <m:r>
                <m:rPr>
                  <m:sty m:val="p"/>
                </m:rPr>
                <m:t>×</m:t>
              </m:r>
              <m:r>
                <m:rPr>
                  <m:nor/>
                  <m:sty m:val="p"/>
                </m:rPr>
                <m:t>Memory</m:t>
              </m:r>
              <m:r>
                <m:rPr>
                  <m:sty m:val="p"/>
                </m:rPr>
                <m:t>∣</m:t>
              </m:r>
              <m:r>
                <m:rPr>
                  <m:nor/>
                  <m:sty m:val="p"/>
                </m:rPr>
                <m:t>Participant</m:t>
              </m:r>
            </m:e>
          </m:d>
          <m:r>
            <m:t>  </m:t>
          </m:r>
          <m:d>
            <m:dPr>
              <m:begChr m:val="("/>
              <m:sepChr m:val=""/>
              <m:endChr m:val=")"/>
              <m:grow/>
            </m:dPr>
            <m:e>
              <m:r>
                <m:t>1</m:t>
              </m:r>
            </m:e>
          </m:d>
        </m:oMath>
      </m:oMathPara>
      <w:bookmarkEnd w:id="27"/>
    </w:p>
    <w:p>
      <w:pPr>
        <w:pStyle w:val="FirstParagraph"/>
      </w:pPr>
      <w:r>
        <w:t xml:space="preserve">The random effect structure needed to be simplified to only include a random intercept effect of participant in the late LPP time window due to a warning of singular fit.</w:t>
      </w:r>
      <w:r>
        <w:t xml:space="preserve"> </w:t>
      </w:r>
      <w:r>
        <w:t xml:space="preserve">The statistical significance of the fixed effects and their interaction was assessed using</w:t>
      </w:r>
      <w:r>
        <w:t xml:space="preserve"> </w:t>
      </w:r>
      <m:oMath>
        <m:sSup>
          <m:e>
            <m:r>
              <m:t>χ</m:t>
            </m:r>
          </m:e>
          <m:sup>
            <m:r>
              <m:t>2</m:t>
            </m:r>
          </m:sup>
        </m:sSup>
      </m:oMath>
      <w:r>
        <w:t xml:space="preserve"> </w:t>
      </w:r>
      <w:r>
        <w:t xml:space="preserve">Wald test as implemented in the car package</w:t>
      </w:r>
      <w:r>
        <w:t xml:space="preserve"> </w:t>
      </w:r>
      <w:r>
        <w:t xml:space="preserve">(</w:t>
      </w:r>
      <w:hyperlink w:anchor="ref-fox2019companion">
        <w:r>
          <w:rPr>
            <w:rStyle w:val="Hyperlink"/>
          </w:rPr>
          <w:t xml:space="preserve">Fox &amp; Weisberg, 2019</w:t>
        </w:r>
      </w:hyperlink>
      <w:r>
        <w:t xml:space="preserve">)</w:t>
      </w:r>
      <w:r>
        <w:t xml:space="preserve">.</w:t>
      </w:r>
      <w:r>
        <w:t xml:space="preserve"> </w:t>
      </w:r>
      <w:r>
        <w:t xml:space="preserve">Significant interactions were followed-up using pairwise contrasts as implemented in the emmeans package in R</w:t>
      </w:r>
      <w:r>
        <w:t xml:space="preserve"> </w:t>
      </w:r>
      <w:r>
        <w:t xml:space="preserve">(</w:t>
      </w:r>
      <w:hyperlink w:anchor="ref-lenth2024emmeans">
        <w:r>
          <w:rPr>
            <w:rStyle w:val="Hyperlink"/>
          </w:rPr>
          <w:t xml:space="preserve">Lenth, 2024</w:t>
        </w:r>
      </w:hyperlink>
      <w:r>
        <w:t xml:space="preserve">)</w:t>
      </w:r>
      <w:r>
        <w:t xml:space="preserve"> </w:t>
      </w:r>
      <w:r>
        <w:t xml:space="preserve">applying a Benjamini &amp; Hochberg (false discovery rate, FDR) correction for multiple comparisons.</w:t>
      </w:r>
    </w:p>
    <w:p>
      <w:pPr>
        <w:pStyle w:val="Heading4"/>
        <w:rPr>
          <w:vanish/>
          <w:specVanish/>
        </w:rPr>
      </w:pPr>
      <w:r>
        <w:t>Global ERP Analysis.</w:t>
      </w:r>
      <w:r>
        <w:t xml:space="preserve"> </w:t>
      </w:r>
    </w:p>
    <w:p>
      <w:pPr>
        <w:pStyle w:val="BodyText"/>
      </w:pPr>
      <w:r>
        <w:t xml:space="preserve"> We complemented the focal analysis with a global, data-driven analysis of all data points between 0 and 2000 ms, the interval during which the stimulus was presented.</w:t>
      </w:r>
      <w:r>
        <w:t xml:space="preserve"> </w:t>
      </w:r>
      <w:r>
        <w:t xml:space="preserve">This analysis served two purposes.</w:t>
      </w:r>
      <w:r>
        <w:t xml:space="preserve"> </w:t>
      </w:r>
      <w:r>
        <w:t xml:space="preserve">First, it tested whether the LPP effect was also present under a more conservative procedure, one that makes no a priori assumptions about the electrode sites or latencies at which the effect should occur.</w:t>
      </w:r>
      <w:r>
        <w:t xml:space="preserve"> </w:t>
      </w:r>
      <w:r>
        <w:t xml:space="preserve">Second, because the focal analysis was restricted to a small set of electrode sites and latencies, it could not detect effects arising elsewhere in the spatiotemporal space; the global analysis was not subject to this constraint and could detect if other ERP effects are more relevant for predicting emotion and memory.</w:t>
      </w:r>
      <w:r>
        <w:t xml:space="preserve"> </w:t>
      </w:r>
      <w:r>
        <w:t xml:space="preserve">In this analysis we controlled for multiple comparisons using cluster-based permutation tests as implemented in the FieldTrip toolbox</w:t>
      </w:r>
      <w:r>
        <w:t xml:space="preserve"> </w:t>
      </w:r>
      <w:r>
        <w:t xml:space="preserve">(</w:t>
      </w:r>
      <w:hyperlink w:anchor="ref-maris2007nonparametric">
        <w:r>
          <w:rPr>
            <w:rStyle w:val="Hyperlink"/>
          </w:rPr>
          <w:t xml:space="preserve">Maris &amp; Oostenveld, 2007</w:t>
        </w:r>
      </w:hyperlink>
      <w:r>
        <w:t xml:space="preserve">;</w:t>
      </w:r>
      <w:r>
        <w:t xml:space="preserve"> </w:t>
      </w:r>
      <w:hyperlink w:anchor="ref-oostenveld2011fieldtrip">
        <w:r>
          <w:rPr>
            <w:rStyle w:val="Hyperlink"/>
          </w:rPr>
          <w:t xml:space="preserve">Oostenveld et al., 2011</w:t>
        </w:r>
      </w:hyperlink>
      <w:r>
        <w:t xml:space="preserve">)</w:t>
      </w:r>
      <w:r>
        <w:t xml:space="preserve">.</w:t>
      </w:r>
      <w:r>
        <w:t xml:space="preserve"> </w:t>
      </w:r>
      <w:r>
        <w:t xml:space="preserve">The first step of this analysis is to perform</w:t>
      </w:r>
      <w:r>
        <w:t xml:space="preserve"> </w:t>
      </w:r>
      <w:r>
        <w:rPr>
          <w:i/>
          <w:iCs/>
        </w:rPr>
        <w:t xml:space="preserve">t</w:t>
      </w:r>
      <w:r>
        <w:t xml:space="preserve">-tests at every ERP data sample.</w:t>
      </w:r>
      <w:r>
        <w:t xml:space="preserve"> </w:t>
      </w:r>
      <w:r>
        <w:t xml:space="preserve">Significant samples, uncorrected at</w:t>
      </w:r>
      <w:r>
        <w:t xml:space="preserve"> </w:t>
      </w:r>
      <m:oMath>
        <m:r>
          <m:t>α</m:t>
        </m:r>
        <m:r>
          <m:rPr>
            <m:sty m:val="p"/>
          </m:rPr>
          <m:t>=</m:t>
        </m:r>
        <m:r>
          <m:t>.05</m:t>
        </m:r>
      </m:oMath>
      <w:r>
        <w:t xml:space="preserve"> </w:t>
      </w:r>
      <w:r>
        <w:t xml:space="preserve">(two-tailed), that were neighbours in time or space, including at least two electrodes, were grouped into clusters.</w:t>
      </w:r>
      <w:r>
        <w:t xml:space="preserve"> </w:t>
      </w:r>
      <w:r>
        <w:t xml:space="preserve">The cluster level t-value was computed by calculating the sum of the t-values from all samples included in the cluster.</w:t>
      </w:r>
      <w:r>
        <w:t xml:space="preserve"> </w:t>
      </w:r>
      <w:r>
        <w:t xml:space="preserve">Finally, we compared the cluster level</w:t>
      </w:r>
      <w:r>
        <w:t xml:space="preserve"> </w:t>
      </w:r>
      <w:r>
        <w:rPr>
          <w:i/>
          <w:iCs/>
        </w:rPr>
        <w:t xml:space="preserve">t</w:t>
      </w:r>
      <w:r>
        <w:t xml:space="preserve">-value in the observed data to the size of the maximal cluster in 5000 permutations, for which the datapoints were randomly swapped between conditions within participants.</w:t>
      </w:r>
      <w:r>
        <w:t xml:space="preserve"> </w:t>
      </w:r>
      <w:r>
        <w:t xml:space="preserve">The cluster level Monte-Carlo</w:t>
      </w:r>
      <w:r>
        <w:t xml:space="preserve"> </w:t>
      </w:r>
      <w:r>
        <w:rPr>
          <w:i/>
          <w:iCs/>
        </w:rPr>
        <w:t xml:space="preserve">p</w:t>
      </w:r>
      <w:r>
        <w:t xml:space="preserve">-value was calculated as the proportion of the permutations for which the maximum cluster was larger than the clusters in the observed data.</w:t>
      </w:r>
      <w:r>
        <w:t xml:space="preserve"> </w:t>
      </w:r>
      <w:r>
        <w:t xml:space="preserve">The exact spatio-temporal distribution of the clusters should be interpreted with caution given that the correction for multiple comparisons are applied at the cluster level rather than at the individual sample level</w:t>
      </w:r>
      <w:r>
        <w:t xml:space="preserve"> </w:t>
      </w:r>
      <w:r>
        <w:t xml:space="preserve">(</w:t>
      </w:r>
      <w:hyperlink w:anchor="ref-sassenhagen2019cluster">
        <w:r>
          <w:rPr>
            <w:rStyle w:val="Hyperlink"/>
          </w:rPr>
          <w:t xml:space="preserve">Sassenhagen &amp; Draschkow, 2019</w:t>
        </w:r>
      </w:hyperlink>
      <w:r>
        <w:t xml:space="preserve">)</w:t>
      </w:r>
      <w:r>
        <w:t xml:space="preserve">.</w:t>
      </w:r>
    </w:p>
    <w:p>
      <w:pPr>
        <w:pStyle w:val="Heading4"/>
        <w:rPr>
          <w:vanish/>
          <w:specVanish/>
        </w:rPr>
      </w:pPr>
      <w:r>
        <w:t>Bootstrap Analysis.</w:t>
      </w:r>
      <w:r>
        <w:t xml:space="preserve"> </w:t>
      </w:r>
    </w:p>
    <w:p>
      <w:pPr>
        <w:pStyle w:val="BodyText"/>
      </w:pPr>
      <w:r>
        <w:t xml:space="preserve"> Having established that the emotional modulation of both the early and the late LPP was significant in the focal and global ERP analyses, we next used a bootstrap analysis to assess, separately for each participant, the reliability of the negative–neutral difference in early and late LPP amplitude.</w:t>
      </w:r>
      <w:r>
        <w:t xml:space="preserve"> </w:t>
      </w:r>
      <w:r>
        <w:t xml:space="preserve">The rationale of this analysis is that negative stimuli should elicit a more positive LPP than neutral stimuli independent of which specific trials contributed to calculating the ERPs.</w:t>
      </w:r>
      <w:r>
        <w:t xml:space="preserve"> </w:t>
      </w:r>
      <w:r>
        <w:t xml:space="preserve">The number of trials was first equated for the two conditions with under-sampling.</w:t>
      </w:r>
      <w:r>
        <w:t xml:space="preserve"> </w:t>
      </w:r>
      <w:r>
        <w:t xml:space="preserve">The data included in this analysis was extracted from the same centro-parietal electrode sites as in the focal ERP analysis, i.e. Cz, CP1, CP2 and Pz.</w:t>
      </w:r>
      <w:r>
        <w:t xml:space="preserve"> </w:t>
      </w:r>
      <w:r>
        <w:t xml:space="preserve">Bootstrap resampling from single trials was used to create a distribution of 1000 resampled ERPs per condition.</w:t>
      </w:r>
      <w:r>
        <w:t xml:space="preserve"> </w:t>
      </w:r>
      <w:r>
        <w:t xml:space="preserve">A sliding time window was applied to detect the most positive LPP peak (the mean amplitude of the 100 ms time window between 400–1000 ms for the early LPP and between 1000–2000 ms for the late LPP).</w:t>
      </w:r>
      <w:r>
        <w:t xml:space="preserve"> </w:t>
      </w:r>
      <w:r>
        <w:t xml:space="preserve">Difference scores were calculated by subtracting the amplitude in the neutral condition from the amplitude in the negative condition for each bootstrap sample.</w:t>
      </w:r>
      <w:r>
        <w:t xml:space="preserve"> </w:t>
      </w:r>
      <w:r>
        <w:t xml:space="preserve">Next, the proportion of positive bootstrap differences were calculated for the two time-windows based on the rationale that participants with robust LPP effects should have a large proportion of positive bootstrapped differences.</w:t>
      </w:r>
      <w:r>
        <w:t xml:space="preserve"> </w:t>
      </w:r>
      <w:r>
        <w:t xml:space="preserve">We interpreted the emotion enhanced LPP as being reliable if a proportion of 0.9 or more of the bootstrapped differences were positive because this cutoff has been used in similar ERP analyses in the concealed information test literature</w:t>
      </w:r>
      <w:r>
        <w:t xml:space="preserve"> </w:t>
      </w:r>
      <w:r>
        <w:t xml:space="preserve">(for example</w:t>
      </w:r>
      <w:r>
        <w:t xml:space="preserve"> </w:t>
      </w:r>
      <w:hyperlink w:anchor="ref-rosenfeld2019p300">
        <w:r>
          <w:rPr>
            <w:rStyle w:val="Hyperlink"/>
          </w:rPr>
          <w:t xml:space="preserve">Rosenfeld, 2020</w:t>
        </w:r>
      </w:hyperlink>
      <w:r>
        <w:t xml:space="preserve">)</w:t>
      </w:r>
      <w:r>
        <w:t xml:space="preserve">.</w:t>
      </w:r>
    </w:p>
    <w:p>
      <w:pPr>
        <w:pStyle w:val="BodyText"/>
      </w:pPr>
      <w:r>
        <w:rPr>
          <w:b/>
          <w:bCs/>
        </w:rPr>
        <w:t xml:space="preserve">Between-participants associations.</w:t>
      </w:r>
      <w:r>
        <w:t xml:space="preserve"> </w:t>
      </w:r>
      <w:r>
        <w:t xml:space="preserve">For the between-participants analysis of the relationship between the LPP and emotion-enhanced memory, we calculated six scores per participant: the average standardised early LPP amplitude, the average standardised late LPP amplitude, and the average memory performance across the nine lists, each computed separately for the emotional and the neutral condition.</w:t>
      </w:r>
      <w:r>
        <w:t xml:space="preserve"> </w:t>
      </w:r>
      <w:r>
        <w:t xml:space="preserve">We then computed the difference scores, subtracting the average performance in the neutral condition from performance in the emotional condition, arriving at three difference scores per participant, for early LPP amplitude, late LPP amplitude, and memory performance, which were then related using Bayesian Pearson correlations.</w:t>
      </w:r>
    </w:p>
    <w:p>
      <w:pPr>
        <w:pStyle w:val="BodyText"/>
      </w:pPr>
      <w:r>
        <w:rPr>
          <w:b/>
          <w:bCs/>
        </w:rPr>
        <w:t xml:space="preserve">Within-participants associations.</w:t>
      </w:r>
      <w:r>
        <w:t xml:space="preserve"> </w:t>
      </w:r>
      <w:r>
        <w:t xml:space="preserve">For the within-participants analysis, we computed for each participant the Pearson correlation between emotion-enhanced LPP and emotion-enhanced memory across the nine lists, separately for early and late LPP.</w:t>
      </w:r>
      <w:r>
        <w:t xml:space="preserve"> </w:t>
      </w:r>
      <w:r>
        <w:t xml:space="preserve">The resulting correlation coefficients were then tested against zero with a Bayesian one-sample</w:t>
      </w:r>
      <w:r>
        <w:t xml:space="preserve"> </w:t>
      </w:r>
      <w:r>
        <w:rPr>
          <w:i/>
          <w:iCs/>
        </w:rPr>
        <w:t xml:space="preserve">t</w:t>
      </w:r>
      <w:r>
        <w:t xml:space="preserve">-test, again separately for early and late LPP.</w:t>
      </w:r>
    </w:p>
    <w:p>
      <w:pPr>
        <w:pStyle w:val="BodyText"/>
      </w:pPr>
      <w:r>
        <w:rPr>
          <w:b/>
          <w:bCs/>
        </w:rPr>
        <w:t xml:space="preserve">Trial-level associations.</w:t>
      </w:r>
      <w:r>
        <w:t xml:space="preserve"> </w:t>
      </w:r>
      <w:r>
        <w:t xml:space="preserve">We used a binomial generalized linear mixed-effect model to investigate if Subsequent memory was predicted by Emotion and LPP amplitude at the single trial level.</w:t>
      </w:r>
      <w:r>
        <w:t xml:space="preserve"> </w:t>
      </w:r>
      <w:r>
        <w:t xml:space="preserve">In this model we used Subsequent memory as the dependent variable and included Emotion (Negative vs Neutral) and LPP amplitude as fixed effects and random intercept + random slope effects of Participant.</w:t>
      </w:r>
      <w:r>
        <w:t xml:space="preserve"> </w:t>
      </w:r>
      <w:r>
        <w:t xml:space="preserve">Two models were conducted, separately for the early and late LPP time windows.</w:t>
      </w:r>
      <w:r>
        <w:t xml:space="preserve"> </w:t>
      </w:r>
      <w:r>
        <w:t xml:space="preserve">In each case, the model formula was:</w:t>
      </w:r>
    </w:p>
    <w:p>
      <w:pPr>
        <w:pStyle w:val="BodyText"/>
      </w:pPr>
      <w:bookmarkStart w:id="28" w:name="eq-empirical-trial-memory"/>
      <m:oMathPara>
        <m:oMathParaPr>
          <m:jc m:val="center"/>
        </m:oMathParaPr>
        <m:oMath>
          <m:r>
            <m:rPr>
              <m:nor/>
              <m:sty m:val="p"/>
            </m:rPr>
            <m:t>Subsequent memory</m:t>
          </m:r>
          <m:r>
            <m:rPr>
              <m:sty m:val="p"/>
            </m:rPr>
            <m:t>∼</m:t>
          </m:r>
          <m:r>
            <m:t>1</m:t>
          </m:r>
          <m:r>
            <m:rPr>
              <m:sty m:val="p"/>
            </m:rPr>
            <m:t>+</m:t>
          </m:r>
          <m:r>
            <m:rPr>
              <m:nor/>
              <m:sty m:val="p"/>
            </m:rPr>
            <m:t>Emotion</m:t>
          </m:r>
          <m:r>
            <m:rPr>
              <m:sty m:val="p"/>
            </m:rPr>
            <m:t>×</m:t>
          </m:r>
          <m:r>
            <m:rPr>
              <m:nor/>
              <m:sty m:val="p"/>
            </m:rPr>
            <m:t>LPP</m:t>
          </m:r>
          <m:r>
            <m:rPr>
              <m:sty m:val="p"/>
            </m:rPr>
            <m:t>+</m:t>
          </m:r>
          <m:d>
            <m:dPr>
              <m:begChr m:val="("/>
              <m:sepChr m:val=""/>
              <m:endChr m:val=")"/>
              <m:grow/>
            </m:dPr>
            <m:e>
              <m:r>
                <m:t>1</m:t>
              </m:r>
              <m:r>
                <m:rPr>
                  <m:sty m:val="p"/>
                </m:rPr>
                <m:t>+</m:t>
              </m:r>
              <m:r>
                <m:rPr>
                  <m:nor/>
                  <m:sty m:val="p"/>
                </m:rPr>
                <m:t>Emotion</m:t>
              </m:r>
              <m:r>
                <m:rPr>
                  <m:sty m:val="p"/>
                </m:rPr>
                <m:t>×</m:t>
              </m:r>
              <m:r>
                <m:rPr>
                  <m:nor/>
                  <m:sty m:val="p"/>
                </m:rPr>
                <m:t>LPP</m:t>
              </m:r>
              <m:r>
                <m:rPr>
                  <m:sty m:val="p"/>
                </m:rPr>
                <m:t>∣</m:t>
              </m:r>
              <m:r>
                <m:rPr>
                  <m:nor/>
                  <m:sty m:val="p"/>
                </m:rPr>
                <m:t>Participant</m:t>
              </m:r>
            </m:e>
          </m:d>
          <m:r>
            <m:t>  </m:t>
          </m:r>
          <m:d>
            <m:dPr>
              <m:begChr m:val="("/>
              <m:sepChr m:val=""/>
              <m:endChr m:val=")"/>
              <m:grow/>
            </m:dPr>
            <m:e>
              <m:r>
                <m:t>2</m:t>
              </m:r>
            </m:e>
          </m:d>
        </m:oMath>
      </m:oMathPara>
      <w:bookmarkEnd w:id="28"/>
    </w:p>
    <w:bookmarkEnd w:id="29"/>
    <w:bookmarkStart w:id="31" w:name="results"/>
    <w:p>
      <w:pPr>
        <w:pStyle w:val="Heading3"/>
      </w:pPr>
      <w:r>
        <w:t xml:space="preserve">Results</w:t>
      </w:r>
    </w:p>
    <w:p>
      <w:pPr>
        <w:pStyle w:val="Heading4"/>
        <w:rPr>
          <w:vanish/>
          <w:specVanish/>
        </w:rPr>
      </w:pPr>
      <w:r>
        <w:t>Behavioural Results.</w:t>
      </w:r>
      <w:r>
        <w:t xml:space="preserve"> </w:t>
      </w:r>
    </w:p>
    <w:p>
      <w:pPr>
        <w:pStyle w:val="FirstParagraph"/>
      </w:pPr>
      <w:r>
        <w:t xml:space="preserve"> The paired</w:t>
      </w:r>
      <w:r>
        <w:t xml:space="preserve"> </w:t>
      </w:r>
      <w:r>
        <w:rPr>
          <w:i/>
          <w:iCs/>
        </w:rPr>
        <w:t xml:space="preserve">t</w:t>
      </w:r>
      <w:r>
        <w:t xml:space="preserve">-test showed that memory performance was significantly higher for negative items (</w:t>
      </w:r>
      <w:r>
        <w:rPr>
          <w:i/>
          <w:iCs/>
        </w:rPr>
        <w:t xml:space="preserve">M</w:t>
      </w:r>
      <w:r>
        <w:t xml:space="preserve"> </w:t>
      </w:r>
      <w:r>
        <w:t xml:space="preserve">= 0.54,</w:t>
      </w:r>
      <w:r>
        <w:t xml:space="preserve"> </w:t>
      </w:r>
      <w:r>
        <w:rPr>
          <w:i/>
          <w:iCs/>
        </w:rPr>
        <w:t xml:space="preserve">SD</w:t>
      </w:r>
      <w:r>
        <w:t xml:space="preserve"> </w:t>
      </w:r>
      <w:r>
        <w:t xml:space="preserve">= 0.1) compared to neutral items (</w:t>
      </w:r>
      <w:r>
        <w:rPr>
          <w:i/>
          <w:iCs/>
        </w:rPr>
        <w:t xml:space="preserve">M</w:t>
      </w:r>
      <w:r>
        <w:t xml:space="preserve"> </w:t>
      </w:r>
      <w:r>
        <w:t xml:space="preserve">= 0.42,</w:t>
      </w:r>
      <w:r>
        <w:t xml:space="preserve"> </w:t>
      </w:r>
      <w:r>
        <w:rPr>
          <w:i/>
          <w:iCs/>
        </w:rPr>
        <w:t xml:space="preserve">SD</w:t>
      </w:r>
      <w:r>
        <w:t xml:space="preserve"> </w:t>
      </w:r>
      <w:r>
        <w:t xml:space="preserve">= .14),</w:t>
      </w:r>
      <w:r>
        <w:t xml:space="preserve"> </w:t>
      </w:r>
      <w:r>
        <w:rPr>
          <w:i/>
          <w:iCs/>
        </w:rPr>
        <w:t xml:space="preserve">t</w:t>
      </w:r>
      <w:r>
        <w:t xml:space="preserve">(37) = 6.18,</w:t>
      </w:r>
      <w:r>
        <w:t xml:space="preserve"> </w:t>
      </w:r>
      <w:r>
        <w:rPr>
          <w:i/>
          <w:iCs/>
        </w:rPr>
        <w:t xml:space="preserve">p</w:t>
      </w:r>
      <w:r>
        <w:t xml:space="preserve"> </w:t>
      </w:r>
      <w:r>
        <w:t xml:space="preserve">&lt; .001.</w:t>
      </w:r>
    </w:p>
    <w:p>
      <w:pPr>
        <w:pStyle w:val="Heading4"/>
        <w:rPr>
          <w:vanish/>
          <w:specVanish/>
        </w:rPr>
      </w:pPr>
      <w:r>
        <w:t>Focal ERP Analysis.</w:t>
      </w:r>
      <w:r>
        <w:t xml:space="preserve"> </w:t>
      </w:r>
    </w:p>
    <w:p>
      <w:pPr>
        <w:pStyle w:val="BodyText"/>
      </w:pPr>
      <w:r>
        <w:t xml:space="preserve"> We next conducted a focal ERP analysis to test whether the LPP at centro-parietal electrode sites differentiated negative from neutral items in the early and the late time window, and whether it was related to subsequent memory.</w:t>
      </w:r>
      <w:r>
        <w:t xml:space="preserve"> </w:t>
      </w:r>
      <w:r>
        <w:t xml:space="preserve">We therefore fitted a linear mixed-effects model with Emotion (Negative vs. Neutral) and Subsequent memory (Remembered vs. Forgotten) as predictors of LPP amplitude, separately for each time window (</w:t>
      </w:r>
      <w:hyperlink w:anchor="fig-focal-erp">
        <w:r>
          <w:rPr>
            <w:rStyle w:val="Hyperlink"/>
          </w:rPr>
          <w:t xml:space="preserve">Figure 2</w:t>
        </w:r>
      </w:hyperlink>
      <w:r>
        <w:t xml:space="preserve">).</w:t>
      </w:r>
      <w:r>
        <w:t xml:space="preserve"> </w:t>
      </w:r>
      <w:r>
        <w:t xml:space="preserve">In the early time window, there was a main effect of Emotion (</w:t>
      </w:r>
      <m:oMath>
        <m:r>
          <m:t>β</m:t>
        </m:r>
      </m:oMath>
      <w:r>
        <w:t xml:space="preserve"> </w:t>
      </w:r>
      <w:r>
        <w:t xml:space="preserve">= .10,</w:t>
      </w:r>
      <w:r>
        <w:t xml:space="preserve"> </w:t>
      </w:r>
      <m:oMath>
        <m:sSup>
          <m:e>
            <m:r>
              <m:t>χ</m:t>
            </m:r>
          </m:e>
          <m:sup>
            <m:r>
              <m:t>2</m:t>
            </m:r>
          </m:sup>
        </m:sSup>
      </m:oMath>
      <w:r>
        <w:t xml:space="preserve">(1) = 6.84,</w:t>
      </w:r>
      <w:r>
        <w:t xml:space="preserve"> </w:t>
      </w:r>
      <w:r>
        <w:rPr>
          <w:i/>
          <w:iCs/>
        </w:rPr>
        <w:t xml:space="preserve">p</w:t>
      </w:r>
      <w:r>
        <w:t xml:space="preserve"> </w:t>
      </w:r>
      <w:r>
        <w:t xml:space="preserve">= .009) and a main effect of Subsequent memory (</w:t>
      </w:r>
      <m:oMath>
        <m:r>
          <m:t>β</m:t>
        </m:r>
      </m:oMath>
      <w:r>
        <w:t xml:space="preserve"> </w:t>
      </w:r>
      <w:r>
        <w:t xml:space="preserve">= .25,</w:t>
      </w:r>
      <w:r>
        <w:t xml:space="preserve"> </w:t>
      </w:r>
      <m:oMath>
        <m:sSup>
          <m:e>
            <m:r>
              <m:t>χ</m:t>
            </m:r>
          </m:e>
          <m:sup>
            <m:r>
              <m:t>2</m:t>
            </m:r>
          </m:sup>
        </m:sSup>
      </m:oMath>
      <w:r>
        <w:t xml:space="preserve">(1) = 26.70,</w:t>
      </w:r>
      <w:r>
        <w:t xml:space="preserve"> </w:t>
      </w:r>
      <w:r>
        <w:rPr>
          <w:i/>
          <w:iCs/>
        </w:rPr>
        <w:t xml:space="preserve">p</w:t>
      </w:r>
      <w:r>
        <w:t xml:space="preserve"> </w:t>
      </w:r>
      <w:r>
        <w:t xml:space="preserve">&lt; .001) and a significant Emotion x Subsequent memory interaction (</w:t>
      </w:r>
      <m:oMath>
        <m:r>
          <m:t>β</m:t>
        </m:r>
      </m:oMath>
      <w:r>
        <w:t xml:space="preserve"> </w:t>
      </w:r>
      <w:r>
        <w:t xml:space="preserve">= .20,</w:t>
      </w:r>
      <w:r>
        <w:t xml:space="preserve"> </w:t>
      </w:r>
      <m:oMath>
        <m:sSup>
          <m:e>
            <m:r>
              <m:t>χ</m:t>
            </m:r>
          </m:e>
          <m:sup>
            <m:r>
              <m:t>2</m:t>
            </m:r>
          </m:sup>
        </m:sSup>
      </m:oMath>
      <w:r>
        <w:t xml:space="preserve">(1) = 14.70,</w:t>
      </w:r>
      <w:r>
        <w:t xml:space="preserve"> </w:t>
      </w:r>
      <w:r>
        <w:rPr>
          <w:i/>
          <w:iCs/>
        </w:rPr>
        <w:t xml:space="preserve">p</w:t>
      </w:r>
      <w:r>
        <w:t xml:space="preserve"> </w:t>
      </w:r>
      <w:r>
        <w:t xml:space="preserve">&lt; .001).</w:t>
      </w:r>
      <w:r>
        <w:t xml:space="preserve"> </w:t>
      </w:r>
      <w:r>
        <w:t xml:space="preserve">Follow-up pairwise contrasts showed that the LPP amplitude was higher for subsequently remembered than for subsequently forgotten negative items (</w:t>
      </w:r>
      <w:r>
        <w:rPr>
          <w:i/>
          <w:iCs/>
        </w:rPr>
        <w:t xml:space="preserve">z</w:t>
      </w:r>
      <w:r>
        <w:t xml:space="preserve"> </w:t>
      </w:r>
      <w:r>
        <w:t xml:space="preserve">= -5.61,</w:t>
      </w:r>
      <w:r>
        <w:t xml:space="preserve"> </w:t>
      </w:r>
      <w:r>
        <w:rPr>
          <w:i/>
          <w:iCs/>
        </w:rPr>
        <w:t xml:space="preserve">p</w:t>
      </w:r>
      <w:r>
        <w:t xml:space="preserve"> </w:t>
      </w:r>
      <w:r>
        <w:t xml:space="preserve">&lt; .001), while there was no difference in LPP amplitude for subsequently remembered and forgotten neutral items (</w:t>
      </w:r>
      <w:r>
        <w:rPr>
          <w:i/>
          <w:iCs/>
        </w:rPr>
        <w:t xml:space="preserve">z</w:t>
      </w:r>
      <w:r>
        <w:t xml:space="preserve"> </w:t>
      </w:r>
      <w:r>
        <w:t xml:space="preserve">= -.88,</w:t>
      </w:r>
      <w:r>
        <w:t xml:space="preserve"> </w:t>
      </w:r>
      <w:r>
        <w:rPr>
          <w:i/>
          <w:iCs/>
        </w:rPr>
        <w:t xml:space="preserve">p</w:t>
      </w:r>
      <w:r>
        <w:t xml:space="preserve"> </w:t>
      </w:r>
      <w:r>
        <w:t xml:space="preserve">= .379).</w:t>
      </w:r>
    </w:p>
    <w:p>
      <w:pPr>
        <w:pStyle w:val="BodyText"/>
      </w:pPr>
      <w:r>
        <w:t xml:space="preserve">In the late time window, there was a main effect of Emotion (</w:t>
      </w:r>
      <m:oMath>
        <m:r>
          <m:t>β</m:t>
        </m:r>
      </m:oMath>
      <w:r>
        <w:t xml:space="preserve"> </w:t>
      </w:r>
      <w:r>
        <w:t xml:space="preserve">= .14,</w:t>
      </w:r>
      <w:r>
        <w:t xml:space="preserve"> </w:t>
      </w:r>
      <m:oMath>
        <m:sSup>
          <m:e>
            <m:r>
              <m:t>χ</m:t>
            </m:r>
          </m:e>
          <m:sup>
            <m:r>
              <m:t>2</m:t>
            </m:r>
          </m:sup>
        </m:sSup>
      </m:oMath>
      <w:r>
        <w:t xml:space="preserve">(1) = 12.72,</w:t>
      </w:r>
      <w:r>
        <w:t xml:space="preserve"> </w:t>
      </w:r>
      <w:r>
        <w:rPr>
          <w:i/>
          <w:iCs/>
        </w:rPr>
        <w:t xml:space="preserve">p</w:t>
      </w:r>
      <w:r>
        <w:t xml:space="preserve"> </w:t>
      </w:r>
      <w:r>
        <w:t xml:space="preserve">&lt; .001), indicating that the LPP amplitude was higher for negative than for neutral items.</w:t>
      </w:r>
      <w:r>
        <w:t xml:space="preserve"> </w:t>
      </w:r>
      <w:r>
        <w:t xml:space="preserve">There was no significant main effect of Subsequent memory (</w:t>
      </w:r>
      <m:oMath>
        <m:r>
          <m:t>β</m:t>
        </m:r>
      </m:oMath>
      <w:r>
        <w:t xml:space="preserve"> </w:t>
      </w:r>
      <w:r>
        <w:t xml:space="preserve">= .08,</w:t>
      </w:r>
      <w:r>
        <w:t xml:space="preserve"> </w:t>
      </w:r>
      <m:oMath>
        <m:sSup>
          <m:e>
            <m:r>
              <m:t>χ</m:t>
            </m:r>
          </m:e>
          <m:sup>
            <m:r>
              <m:t>2</m:t>
            </m:r>
          </m:sup>
        </m:sSup>
      </m:oMath>
      <w:r>
        <w:t xml:space="preserve">(1) = 2.13,</w:t>
      </w:r>
      <w:r>
        <w:t xml:space="preserve"> </w:t>
      </w:r>
      <w:r>
        <w:rPr>
          <w:i/>
          <w:iCs/>
        </w:rPr>
        <w:t xml:space="preserve">p</w:t>
      </w:r>
      <w:r>
        <w:t xml:space="preserve"> </w:t>
      </w:r>
      <w:r>
        <w:t xml:space="preserve">= .144).</w:t>
      </w:r>
      <w:r>
        <w:t xml:space="preserve"> </w:t>
      </w:r>
      <w:r>
        <w:t xml:space="preserve">There was a trend for a significant Emotion x Subsequent memory interaction (</w:t>
      </w:r>
      <m:oMath>
        <m:r>
          <m:t>β</m:t>
        </m:r>
      </m:oMath>
      <w:r>
        <w:t xml:space="preserve"> </w:t>
      </w:r>
      <w:r>
        <w:t xml:space="preserve">= .09,</w:t>
      </w:r>
      <w:r>
        <w:t xml:space="preserve"> </w:t>
      </w:r>
      <m:oMath>
        <m:sSup>
          <m:e>
            <m:r>
              <m:t>χ</m:t>
            </m:r>
          </m:e>
          <m:sup>
            <m:r>
              <m:t>2</m:t>
            </m:r>
          </m:sup>
        </m:sSup>
      </m:oMath>
      <w:r>
        <w:t xml:space="preserve">(1) = 3.06,</w:t>
      </w:r>
      <w:r>
        <w:t xml:space="preserve"> </w:t>
      </w:r>
      <w:r>
        <w:rPr>
          <w:i/>
          <w:iCs/>
        </w:rPr>
        <w:t xml:space="preserve">p</w:t>
      </w:r>
      <w:r>
        <w:t xml:space="preserve"> </w:t>
      </w:r>
      <w:r>
        <w:t xml:space="preserve">= .080).</w:t>
      </w:r>
    </w:p>
    <w:p>
      <w:pPr>
        <w:pStyle w:val="Heading4"/>
        <w:rPr>
          <w:vanish/>
          <w:specVanish/>
        </w:rPr>
      </w:pPr>
      <w:r>
        <w:t>Global ERP Analysis.</w:t>
      </w:r>
      <w:r>
        <w:t xml:space="preserve"> </w:t>
      </w:r>
    </w:p>
    <w:p>
      <w:pPr>
        <w:pStyle w:val="BodyText"/>
      </w:pPr>
      <w:r>
        <w:t xml:space="preserve"> We complemented the focal analysis with a global, data-driven analysis of all data points in the 0–2000 ms stimulus interval.</w:t>
      </w:r>
      <w:r>
        <w:t xml:space="preserve"> </w:t>
      </w:r>
      <w:r>
        <w:t xml:space="preserve">Because it makes no a priori assumptions about electrode sites or latencies, this analysis provided both a more conservative test of the LPP effect and a means of detecting effects elsewhere in the spatiotemporal space.</w:t>
      </w:r>
      <w:r>
        <w:t xml:space="preserve"> </w:t>
      </w:r>
      <w:r>
        <w:t xml:space="preserve">First, it tested whether the LPP effect was also present under a more conservative procedure, one that makes no a priori assumptions about the electrode sites or latencies at which the effect should occur.</w:t>
      </w:r>
      <w:r>
        <w:t xml:space="preserve"> </w:t>
      </w:r>
      <w:r>
        <w:t xml:space="preserve">Second, the global analysis can detect effects outside of the regions and time windows of interest in the focal analysis in the spatiotemporal space.</w:t>
      </w:r>
      <w:r>
        <w:t xml:space="preserve"> </w:t>
      </w:r>
      <w:r>
        <w:t xml:space="preserve">Results are displayed in</w:t>
      </w:r>
      <w:r>
        <w:t xml:space="preserve"> </w:t>
      </w:r>
      <w:hyperlink w:anchor="fig-global-erp">
        <w:r>
          <w:rPr>
            <w:rStyle w:val="Hyperlink"/>
          </w:rPr>
          <w:t xml:space="preserve">Figure 3</w:t>
        </w:r>
      </w:hyperlink>
      <w:r>
        <w:t xml:space="preserve">.</w:t>
      </w:r>
    </w:p>
    <w:p>
      <w:pPr>
        <w:pStyle w:val="BodyText"/>
      </w:pPr>
      <w:r>
        <w:t xml:space="preserve">We first analysed the main effect of Emotion (Negative vs Neutral trials) and found a positive cluster (</w:t>
      </w:r>
      <w:r>
        <w:rPr>
          <w:i/>
          <w:iCs/>
        </w:rPr>
        <w:t xml:space="preserve">p</w:t>
      </w:r>
      <w:r>
        <w:t xml:space="preserve"> </w:t>
      </w:r>
      <w:r>
        <w:t xml:space="preserve">&lt; .001) which was significant between approximately 380-2000ms with a widespread distribution.</w:t>
      </w:r>
      <w:r>
        <w:t xml:space="preserve"> </w:t>
      </w:r>
      <w:r>
        <w:t xml:space="preserve">In other words, there was an emotionally enhanced LPP effect which roughly overlapped with the early and late time windows analysed in the focal analysis.</w:t>
      </w:r>
    </w:p>
    <w:p>
      <w:pPr>
        <w:pStyle w:val="BodyText"/>
      </w:pPr>
      <w:r>
        <w:t xml:space="preserve">Replicating the focal analysis, there was also a main effect of subsequent memory with more positive ERPs for remembered compared to forgotten trials (</w:t>
      </w:r>
      <w:r>
        <w:rPr>
          <w:i/>
          <w:iCs/>
        </w:rPr>
        <w:t xml:space="preserve">p</w:t>
      </w:r>
      <w:r>
        <w:t xml:space="preserve"> </w:t>
      </w:r>
      <w:r>
        <w:t xml:space="preserve">&lt; .001) with a widespread spatial distribution between around 210-1240ms.</w:t>
      </w:r>
    </w:p>
    <w:p>
      <w:pPr>
        <w:pStyle w:val="BodyText"/>
      </w:pPr>
      <w:r>
        <w:t xml:space="preserve">In addition, there was an Emotion x Subsequent Memory interaction between 360-1240ms (</w:t>
      </w:r>
      <w:r>
        <w:rPr>
          <w:i/>
          <w:iCs/>
        </w:rPr>
        <w:t xml:space="preserve">p</w:t>
      </w:r>
      <w:r>
        <w:t xml:space="preserve"> </w:t>
      </w:r>
      <w:r>
        <w:t xml:space="preserve">&lt; .001) with a widespread distribution, indicating that the negative items subsequent memory effect was larger than the neutral items subsequent memory effect.</w:t>
      </w:r>
      <w:r>
        <w:t xml:space="preserve"> </w:t>
      </w:r>
      <w:r>
        <w:t xml:space="preserve">In addition, there was a widespread cluster (</w:t>
      </w:r>
      <w:r>
        <w:rPr>
          <w:i/>
          <w:iCs/>
        </w:rPr>
        <w:t xml:space="preserve">p</w:t>
      </w:r>
      <w:r>
        <w:t xml:space="preserve"> </w:t>
      </w:r>
      <w:r>
        <w:t xml:space="preserve">= .029, two tailed alpha = .025) between 1240-1390ms that did not meet the significance threshold.</w:t>
      </w:r>
      <w:r>
        <w:t xml:space="preserve"> </w:t>
      </w:r>
      <w:r>
        <w:t xml:space="preserve">Follow-up cluster permutation tests showed that for negative items, remembered items were related to more positive going ERPs between 220-1420ms (</w:t>
      </w:r>
      <w:r>
        <w:rPr>
          <w:i/>
          <w:iCs/>
        </w:rPr>
        <w:t xml:space="preserve">p</w:t>
      </w:r>
      <w:r>
        <w:t xml:space="preserve"> </w:t>
      </w:r>
      <w:r>
        <w:t xml:space="preserve">&lt; .001).</w:t>
      </w:r>
      <w:r>
        <w:t xml:space="preserve"> </w:t>
      </w:r>
      <w:r>
        <w:t xml:space="preserve">This effect was also widespread.</w:t>
      </w:r>
      <w:r>
        <w:t xml:space="preserve"> </w:t>
      </w:r>
      <w:r>
        <w:t xml:space="preserve">In contrast, there was no significant subsequent memory ERP effect for neutral items (all</w:t>
      </w:r>
      <w:r>
        <w:t xml:space="preserve"> </w:t>
      </w:r>
      <w:r>
        <w:rPr>
          <w:i/>
          <w:iCs/>
        </w:rPr>
        <w:t xml:space="preserve">p</w:t>
      </w:r>
      <w:r>
        <w:t xml:space="preserve">s &gt; .19).</w:t>
      </w:r>
    </w:p>
    <w:p>
      <w:pPr>
        <w:pStyle w:val="BodyText"/>
      </w:pPr>
      <w:r>
        <w:t xml:space="preserve">Overall, the global analysis replicated the focal analysis and shows that these results hold up in more conservative tests with correction for multiple comparisons.</w:t>
      </w:r>
      <w:r>
        <w:t xml:space="preserve"> </w:t>
      </w:r>
      <w:r>
        <w:t xml:space="preserve">The analysis also shows that the time windows and electrodes analysed in the focal analysis capture the maximum of the LPP effects well in this data set.</w:t>
      </w:r>
    </w:p>
    <w:p>
      <w:pPr>
        <w:pStyle w:val="Heading4"/>
        <w:rPr>
          <w:vanish/>
          <w:specVanish/>
        </w:rPr>
      </w:pPr>
      <w:r>
        <w:t>Bootstrap Reliability of LPP amplitudes.</w:t>
      </w:r>
      <w:r>
        <w:t xml:space="preserve"> </w:t>
      </w:r>
    </w:p>
    <w:p>
      <w:pPr>
        <w:pStyle w:val="BodyText"/>
      </w:pPr>
      <w:r>
        <w:t xml:space="preserve"> Having established a significant LPP modulation of emotion in the focal and global ERP analyses we next performed a bootstrap analysis to test if this emotional LPP effect was reliable within participants.</w:t>
      </w:r>
      <w:r>
        <w:t xml:space="preserve"> </w:t>
      </w:r>
      <w:r>
        <w:t xml:space="preserve">This analysis showed that the early LPP was reliable in 73.7% of the participants while the late LPP effect was reliable in 50% of the participants (</w:t>
      </w:r>
      <w:hyperlink w:anchor="fig-lpp-reliability-memory">
        <w:r>
          <w:rPr>
            <w:rStyle w:val="Hyperlink"/>
          </w:rPr>
          <w:t xml:space="preserve">Figure 4</w:t>
        </w:r>
      </w:hyperlink>
      <w:r>
        <w:t xml:space="preserve">, panel A).</w:t>
      </w:r>
    </w:p>
    <w:p>
      <w:pPr>
        <w:pStyle w:val="Heading4"/>
        <w:rPr>
          <w:vanish/>
          <w:specVanish/>
        </w:rPr>
      </w:pPr>
      <w:r>
        <w:t>Relationship between the LPP and Emotion Enhanced Memory: Between and within-participant associations.</w:t>
      </w:r>
      <w:r>
        <w:t xml:space="preserve"> </w:t>
      </w:r>
    </w:p>
    <w:p>
      <w:pPr>
        <w:pStyle w:val="BodyText"/>
      </w:pPr>
      <w:r>
        <w:t xml:space="preserve"> For the LPP to be useful as a model input, it needs to relate to memory performance at a relevant level of analysis.</w:t>
      </w:r>
      <w:r>
        <w:t xml:space="preserve"> </w:t>
      </w:r>
      <w:r>
        <w:t xml:space="preserve">We therefore examined that relation at the between-participant, within-participant, and single-trial levels in turn.</w:t>
      </w:r>
      <w:r>
        <w:t xml:space="preserve"> </w:t>
      </w:r>
      <w:r>
        <w:t xml:space="preserve">We first investigated whether the emotionally enhanced LPP amplitude (negative minus neutral items) correlated with emotionally enhanced memory (negative minus neutral items) between participants (</w:t>
      </w:r>
      <w:hyperlink w:anchor="fig-lpp-reliability-memory">
        <w:r>
          <w:rPr>
            <w:rStyle w:val="Hyperlink"/>
          </w:rPr>
          <w:t xml:space="preserve">Figure 4</w:t>
        </w:r>
      </w:hyperlink>
      <w:r>
        <w:t xml:space="preserve">, panels B and C).</w:t>
      </w:r>
      <w:r>
        <w:t xml:space="preserve"> </w:t>
      </w:r>
      <w:r>
        <w:t xml:space="preserve">The Bayesian Pearson correlation showed moderate evidence for no correlation for both the early time window (</w:t>
      </w:r>
      <w:r>
        <w:rPr>
          <w:i/>
          <w:iCs/>
        </w:rPr>
        <w:t xml:space="preserve">r</w:t>
      </w:r>
      <w:r>
        <w:t xml:space="preserve"> </w:t>
      </w:r>
      <w:r>
        <w:t xml:space="preserve">= –.018, BF</w:t>
      </w:r>
      <w:r>
        <w:rPr>
          <w:vertAlign w:val="subscript"/>
        </w:rPr>
        <w:t xml:space="preserve">01</w:t>
      </w:r>
      <w:r>
        <w:t xml:space="preserve"> </w:t>
      </w:r>
      <w:r>
        <w:t xml:space="preserve">= 4.925) and the late time window (</w:t>
      </w:r>
      <w:r>
        <w:rPr>
          <w:i/>
          <w:iCs/>
        </w:rPr>
        <w:t xml:space="preserve">r</w:t>
      </w:r>
      <w:r>
        <w:t xml:space="preserve"> </w:t>
      </w:r>
      <w:r>
        <w:t xml:space="preserve">= –.028, BF</w:t>
      </w:r>
      <w:r>
        <w:rPr>
          <w:vertAlign w:val="subscript"/>
        </w:rPr>
        <w:t xml:space="preserve">01</w:t>
      </w:r>
      <w:r>
        <w:t xml:space="preserve"> </w:t>
      </w:r>
      <w:r>
        <w:t xml:space="preserve">= 4.885).</w:t>
      </w:r>
      <w:r>
        <w:t xml:space="preserve"> </w:t>
      </w:r>
      <w:r>
        <w:t xml:space="preserve">Next, we investigated the correlation between emotion enhanced LPP amplitude and emotion enhanced memory within participants (</w:t>
      </w:r>
      <w:hyperlink w:anchor="fig-lpp-reliability-memory">
        <w:r>
          <w:rPr>
            <w:rStyle w:val="Hyperlink"/>
          </w:rPr>
          <w:t xml:space="preserve">Figure 4</w:t>
        </w:r>
      </w:hyperlink>
      <w:r>
        <w:t xml:space="preserve">, panel D).</w:t>
      </w:r>
      <w:r>
        <w:t xml:space="preserve"> </w:t>
      </w:r>
      <w:r>
        <w:t xml:space="preserve">There was moderate support for no correlation in both the early time window (</w:t>
      </w:r>
      <w:r>
        <w:rPr>
          <w:i/>
          <w:iCs/>
        </w:rPr>
        <w:t xml:space="preserve">t</w:t>
      </w:r>
      <w:r>
        <w:t xml:space="preserve">(37) = –.26,</w:t>
      </w:r>
      <w:r>
        <w:t xml:space="preserve"> </w:t>
      </w:r>
      <w:r>
        <w:rPr>
          <w:i/>
          <w:iCs/>
        </w:rPr>
        <w:t xml:space="preserve">p</w:t>
      </w:r>
      <w:r>
        <w:t xml:space="preserve"> </w:t>
      </w:r>
      <w:r>
        <w:t xml:space="preserve">= .795, BF</w:t>
      </w:r>
      <w:r>
        <w:rPr>
          <w:vertAlign w:val="subscript"/>
        </w:rPr>
        <w:t xml:space="preserve">01</w:t>
      </w:r>
      <w:r>
        <w:t xml:space="preserve"> </w:t>
      </w:r>
      <w:r>
        <w:t xml:space="preserve">= 7.658) and the late time window (</w:t>
      </w:r>
      <w:r>
        <w:rPr>
          <w:i/>
          <w:iCs/>
        </w:rPr>
        <w:t xml:space="preserve">t</w:t>
      </w:r>
      <w:r>
        <w:t xml:space="preserve">(37) = –1.26,</w:t>
      </w:r>
      <w:r>
        <w:t xml:space="preserve"> </w:t>
      </w:r>
      <w:r>
        <w:rPr>
          <w:i/>
          <w:iCs/>
        </w:rPr>
        <w:t xml:space="preserve">p</w:t>
      </w:r>
      <w:r>
        <w:t xml:space="preserve"> </w:t>
      </w:r>
      <w:r>
        <w:t xml:space="preserve">= .215, BF</w:t>
      </w:r>
      <w:r>
        <w:rPr>
          <w:vertAlign w:val="subscript"/>
        </w:rPr>
        <w:t xml:space="preserve">01</w:t>
      </w:r>
      <w:r>
        <w:t xml:space="preserve"> </w:t>
      </w:r>
      <w:r>
        <w:t xml:space="preserve">= 3.698).</w:t>
      </w:r>
    </w:p>
    <w:p>
      <w:pPr>
        <w:pStyle w:val="Heading4"/>
        <w:rPr>
          <w:vanish/>
          <w:specVanish/>
        </w:rPr>
      </w:pPr>
      <w:r>
        <w:t>Trial-level associations.</w:t>
      </w:r>
      <w:r>
        <w:t xml:space="preserve"> </w:t>
      </w:r>
    </w:p>
    <w:p>
      <w:pPr>
        <w:pStyle w:val="BodyText"/>
      </w:pPr>
      <w:r>
        <w:t xml:space="preserve"> Finally, we conducted binomial generalized mixed effects models to test if Emotion and LPP amplitude predicted memory (</w:t>
      </w:r>
      <w:hyperlink w:anchor="fig-lpp-reliability-memory">
        <w:r>
          <w:rPr>
            <w:rStyle w:val="Hyperlink"/>
          </w:rPr>
          <w:t xml:space="preserve">Figure 4</w:t>
        </w:r>
      </w:hyperlink>
      <w:r>
        <w:t xml:space="preserve">, panel E).</w:t>
      </w:r>
      <w:r>
        <w:t xml:space="preserve"> </w:t>
      </w:r>
      <w:r>
        <w:t xml:space="preserve">In the early time window, there was a main effect of Emotion (</w:t>
      </w:r>
      <m:oMath>
        <m:r>
          <m:t>β</m:t>
        </m:r>
      </m:oMath>
      <w:r>
        <w:t xml:space="preserve"> </w:t>
      </w:r>
      <w:r>
        <w:t xml:space="preserve">= .21,</w:t>
      </w:r>
      <w:r>
        <w:t xml:space="preserve"> </w:t>
      </w:r>
      <m:oMath>
        <m:sSup>
          <m:e>
            <m:r>
              <m:t>χ</m:t>
            </m:r>
          </m:e>
          <m:sup>
            <m:r>
              <m:t>2</m:t>
            </m:r>
          </m:sup>
        </m:sSup>
      </m:oMath>
      <w:r>
        <w:t xml:space="preserve">(1) = 22.68,</w:t>
      </w:r>
      <w:r>
        <w:t xml:space="preserve"> </w:t>
      </w:r>
      <w:r>
        <w:rPr>
          <w:i/>
          <w:iCs/>
        </w:rPr>
        <w:t xml:space="preserve">p</w:t>
      </w:r>
      <w:r>
        <w:t xml:space="preserve"> </w:t>
      </w:r>
      <w:r>
        <w:t xml:space="preserve">&lt; .001), a main effect of LPP (</w:t>
      </w:r>
      <m:oMath>
        <m:r>
          <m:t>β</m:t>
        </m:r>
      </m:oMath>
      <w:r>
        <w:t xml:space="preserve"> </w:t>
      </w:r>
      <w:r>
        <w:t xml:space="preserve">= .08,</w:t>
      </w:r>
      <w:r>
        <w:t xml:space="preserve"> </w:t>
      </w:r>
      <m:oMath>
        <m:sSup>
          <m:e>
            <m:r>
              <m:t>χ</m:t>
            </m:r>
          </m:e>
          <m:sup>
            <m:r>
              <m:t>2</m:t>
            </m:r>
          </m:sup>
        </m:sSup>
      </m:oMath>
      <w:r>
        <w:t xml:space="preserve">(1) = 18.87,</w:t>
      </w:r>
      <w:r>
        <w:t xml:space="preserve"> </w:t>
      </w:r>
      <w:r>
        <w:rPr>
          <w:i/>
          <w:iCs/>
        </w:rPr>
        <w:t xml:space="preserve">p</w:t>
      </w:r>
      <w:r>
        <w:t xml:space="preserve"> </w:t>
      </w:r>
      <w:r>
        <w:t xml:space="preserve">&lt; .001) and an Emotion x LPP interaction (</w:t>
      </w:r>
      <m:oMath>
        <m:r>
          <m:t>β</m:t>
        </m:r>
      </m:oMath>
      <w:r>
        <w:t xml:space="preserve"> </w:t>
      </w:r>
      <w:r>
        <w:t xml:space="preserve">= .06,</w:t>
      </w:r>
      <w:r>
        <w:t xml:space="preserve"> </w:t>
      </w:r>
      <m:oMath>
        <m:sSup>
          <m:e>
            <m:r>
              <m:t>χ</m:t>
            </m:r>
          </m:e>
          <m:sup>
            <m:r>
              <m:t>2</m:t>
            </m:r>
          </m:sup>
        </m:sSup>
      </m:oMath>
      <w:r>
        <w:t xml:space="preserve">(1) = 11.20,</w:t>
      </w:r>
      <w:r>
        <w:t xml:space="preserve"> </w:t>
      </w:r>
      <w:r>
        <w:rPr>
          <w:i/>
          <w:iCs/>
        </w:rPr>
        <w:t xml:space="preserve">p</w:t>
      </w:r>
      <w:r>
        <w:t xml:space="preserve"> </w:t>
      </w:r>
      <w:r>
        <w:t xml:space="preserve">&lt; .001).</w:t>
      </w:r>
      <w:r>
        <w:t xml:space="preserve"> </w:t>
      </w:r>
      <w:r>
        <w:t xml:space="preserve">We unpacked the interaction by running the same analysis separately for negative and neutral items:</w:t>
      </w:r>
    </w:p>
    <w:p>
      <w:pPr>
        <w:pStyle w:val="BodyText"/>
      </w:pPr>
      <w:bookmarkStart w:id="30" w:name="eq-empirical-category-followup"/>
      <m:oMathPara>
        <m:oMathParaPr>
          <m:jc m:val="center"/>
        </m:oMathParaPr>
        <m:oMath>
          <m:r>
            <m:rPr>
              <m:nor/>
              <m:sty m:val="p"/>
            </m:rPr>
            <m:t>Subsequent memory</m:t>
          </m:r>
          <m:r>
            <m:rPr>
              <m:sty m:val="p"/>
            </m:rPr>
            <m:t>∼</m:t>
          </m:r>
          <m:r>
            <m:t>1</m:t>
          </m:r>
          <m:r>
            <m:rPr>
              <m:sty m:val="p"/>
            </m:rPr>
            <m:t>+</m:t>
          </m:r>
          <m:r>
            <m:rPr>
              <m:nor/>
              <m:sty m:val="p"/>
            </m:rPr>
            <m:t>LPP</m:t>
          </m:r>
          <m:r>
            <m:rPr>
              <m:sty m:val="p"/>
            </m:rPr>
            <m:t>∣</m:t>
          </m:r>
          <m:r>
            <m:rPr>
              <m:nor/>
              <m:sty m:val="p"/>
            </m:rPr>
            <m:t>Participant</m:t>
          </m:r>
          <m:r>
            <m:t>  </m:t>
          </m:r>
          <m:d>
            <m:dPr>
              <m:begChr m:val="("/>
              <m:sepChr m:val=""/>
              <m:endChr m:val=")"/>
              <m:grow/>
            </m:dPr>
            <m:e>
              <m:r>
                <m:t>3</m:t>
              </m:r>
            </m:e>
          </m:d>
        </m:oMath>
      </m:oMathPara>
      <w:bookmarkEnd w:id="30"/>
    </w:p>
    <w:p>
      <w:pPr>
        <w:pStyle w:val="FirstParagraph"/>
      </w:pPr>
      <w:r>
        <w:t xml:space="preserve">For negative items, there was a significant positive relationship between early LPP amplitude and memory (</w:t>
      </w:r>
      <m:oMath>
        <m:r>
          <m:t>β</m:t>
        </m:r>
      </m:oMath>
      <w:r>
        <w:t xml:space="preserve"> </w:t>
      </w:r>
      <w:r>
        <w:t xml:space="preserve">= .14,</w:t>
      </w:r>
      <w:r>
        <w:t xml:space="preserve"> </w:t>
      </w:r>
      <m:oMath>
        <m:sSup>
          <m:e>
            <m:r>
              <m:t>χ</m:t>
            </m:r>
          </m:e>
          <m:sup>
            <m:r>
              <m:t>2</m:t>
            </m:r>
          </m:sup>
        </m:sSup>
      </m:oMath>
      <w:r>
        <w:t xml:space="preserve">(1) = 25.43,</w:t>
      </w:r>
      <w:r>
        <w:t xml:space="preserve"> </w:t>
      </w:r>
      <w:r>
        <w:rPr>
          <w:i/>
          <w:iCs/>
        </w:rPr>
        <w:t xml:space="preserve">p</w:t>
      </w:r>
      <w:r>
        <w:t xml:space="preserve"> </w:t>
      </w:r>
      <w:r>
        <w:t xml:space="preserve">&lt; .001).</w:t>
      </w:r>
      <w:r>
        <w:t xml:space="preserve"> </w:t>
      </w:r>
      <w:r>
        <w:t xml:space="preserve">In contrast, there was no significant relationship between early LPP amplitude and memory for neutral items (</w:t>
      </w:r>
      <m:oMath>
        <m:r>
          <m:t>β</m:t>
        </m:r>
      </m:oMath>
      <w:r>
        <w:t xml:space="preserve"> </w:t>
      </w:r>
      <w:r>
        <w:t xml:space="preserve">= .01,</w:t>
      </w:r>
      <w:r>
        <w:t xml:space="preserve"> </w:t>
      </w:r>
      <m:oMath>
        <m:sSup>
          <m:e>
            <m:r>
              <m:t>χ</m:t>
            </m:r>
          </m:e>
          <m:sup>
            <m:r>
              <m:t>2</m:t>
            </m:r>
          </m:sup>
        </m:sSup>
      </m:oMath>
      <w:r>
        <w:t xml:space="preserve">(1) = .48,</w:t>
      </w:r>
      <w:r>
        <w:t xml:space="preserve"> </w:t>
      </w:r>
      <w:r>
        <w:rPr>
          <w:i/>
          <w:iCs/>
        </w:rPr>
        <w:t xml:space="preserve">p</w:t>
      </w:r>
      <w:r>
        <w:t xml:space="preserve"> </w:t>
      </w:r>
      <w:r>
        <w:t xml:space="preserve">= .488).</w:t>
      </w:r>
      <w:r>
        <w:t xml:space="preserve"> </w:t>
      </w:r>
      <w:r>
        <w:t xml:space="preserve">In the late time window, there was a main effect of Emotion (</w:t>
      </w:r>
      <m:oMath>
        <m:r>
          <m:t>β</m:t>
        </m:r>
      </m:oMath>
      <w:r>
        <w:t xml:space="preserve"> </w:t>
      </w:r>
      <w:r>
        <w:t xml:space="preserve">= .23,</w:t>
      </w:r>
      <w:r>
        <w:t xml:space="preserve"> </w:t>
      </w:r>
      <m:oMath>
        <m:sSup>
          <m:e>
            <m:r>
              <m:t>χ</m:t>
            </m:r>
          </m:e>
          <m:sup>
            <m:r>
              <m:t>2</m:t>
            </m:r>
          </m:sup>
        </m:sSup>
      </m:oMath>
      <w:r>
        <w:t xml:space="preserve">(1) = 66.58,</w:t>
      </w:r>
      <w:r>
        <w:t xml:space="preserve"> </w:t>
      </w:r>
      <w:r>
        <w:rPr>
          <w:i/>
          <w:iCs/>
        </w:rPr>
        <w:t xml:space="preserve">p</w:t>
      </w:r>
      <w:r>
        <w:t xml:space="preserve"> </w:t>
      </w:r>
      <w:r>
        <w:t xml:space="preserve">&lt; .001), showing once again that memory was higher for negative than neutral items, but importantly there was neither a main effect of LPP amplitude (</w:t>
      </w:r>
      <m:oMath>
        <m:r>
          <m:t>β</m:t>
        </m:r>
      </m:oMath>
      <w:r>
        <w:t xml:space="preserve"> </w:t>
      </w:r>
      <w:r>
        <w:t xml:space="preserve">= .02,</w:t>
      </w:r>
      <w:r>
        <w:t xml:space="preserve"> </w:t>
      </w:r>
      <m:oMath>
        <m:sSup>
          <m:e>
            <m:r>
              <m:t>χ</m:t>
            </m:r>
          </m:e>
          <m:sup>
            <m:r>
              <m:t>2</m:t>
            </m:r>
          </m:sup>
        </m:sSup>
      </m:oMath>
      <w:r>
        <w:t xml:space="preserve">(1) = 1.98,</w:t>
      </w:r>
      <w:r>
        <w:t xml:space="preserve"> </w:t>
      </w:r>
      <w:r>
        <w:rPr>
          <w:i/>
          <w:iCs/>
        </w:rPr>
        <w:t xml:space="preserve">p</w:t>
      </w:r>
      <w:r>
        <w:t xml:space="preserve"> </w:t>
      </w:r>
      <w:r>
        <w:t xml:space="preserve">= .160) nor any interaction between Emotion and LPP amplitude (</w:t>
      </w:r>
      <m:oMath>
        <m:r>
          <m:t>β</m:t>
        </m:r>
      </m:oMath>
      <w:r>
        <w:t xml:space="preserve"> </w:t>
      </w:r>
      <w:r>
        <w:t xml:space="preserve">= .02,</w:t>
      </w:r>
      <w:r>
        <w:t xml:space="preserve"> </w:t>
      </w:r>
      <m:oMath>
        <m:sSup>
          <m:e>
            <m:r>
              <m:t>χ</m:t>
            </m:r>
          </m:e>
          <m:sup>
            <m:r>
              <m:t>2</m:t>
            </m:r>
          </m:sup>
        </m:sSup>
      </m:oMath>
      <w:r>
        <w:t xml:space="preserve">(1) = 2.44,</w:t>
      </w:r>
      <w:r>
        <w:t xml:space="preserve"> </w:t>
      </w:r>
      <w:r>
        <w:rPr>
          <w:i/>
          <w:iCs/>
        </w:rPr>
        <w:t xml:space="preserve">p</w:t>
      </w:r>
      <w:r>
        <w:t xml:space="preserve"> </w:t>
      </w:r>
      <w:r>
        <w:t xml:space="preserve">= .118).</w:t>
      </w:r>
    </w:p>
    <w:bookmarkEnd w:id="31"/>
    <w:bookmarkStart w:id="32" w:name="discussion"/>
    <w:p>
      <w:pPr>
        <w:pStyle w:val="Heading3"/>
      </w:pPr>
      <w:r>
        <w:t xml:space="preserve">Discussion</w:t>
      </w:r>
    </w:p>
    <w:p>
      <w:pPr>
        <w:pStyle w:val="FirstParagraph"/>
      </w:pPr>
      <w:r>
        <w:t xml:space="preserve">In sum, the focal and the global ERP analyses converged in showing emotional modulation of the LPP in both time windows, with an interaction with subsequent memory in the early window only.</w:t>
      </w:r>
      <w:r>
        <w:t xml:space="preserve"> </w:t>
      </w:r>
      <w:r>
        <w:t xml:space="preserve">The early LPP was reliable in a larger proportion of participants than the late LPP (73.7% versus 50%), and only the early LPP predicted recall at the single-trial level, selectively for negative items; neither time window was associated with emotion-enhanced memory in aggregated scores.</w:t>
      </w:r>
      <w:r>
        <w:t xml:space="preserve"> </w:t>
      </w:r>
      <w:r>
        <w:t xml:space="preserve">We therefore incorporated the LPP into eCMR at the single-trial level using standardised amplitudes from the early time window, matching the level and time window at which the LPP–memory relationship was observed.</w:t>
      </w:r>
    </w:p>
    <w:bookmarkEnd w:id="32"/>
    <w:bookmarkEnd w:id="33"/>
    <w:bookmarkStart w:id="46" w:name="X918e403399ebc9d47e340e23c22d36a5b154270"/>
    <w:p>
      <w:pPr>
        <w:pStyle w:val="Heading2"/>
      </w:pPr>
      <w:r>
        <w:t xml:space="preserve">Computational modeling of the Early LPP contribution to emotional recall</w:t>
      </w:r>
    </w:p>
    <w:p>
      <w:pPr>
        <w:pStyle w:val="FirstParagraph"/>
      </w:pPr>
      <w:r>
        <w:t xml:space="preserve">The behavioral and EEG analyses identified two forms of variation in recall.</w:t>
      </w:r>
      <w:r>
        <w:t xml:space="preserve"> </w:t>
      </w:r>
      <w:r>
        <w:t xml:space="preserve">At the group level, emotional items were recalled more often than neutral items.</w:t>
      </w:r>
      <w:r>
        <w:t xml:space="preserve"> </w:t>
      </w:r>
      <w:r>
        <w:t xml:space="preserve">At the item level, Early LPP was more strongly associated with subsequent recall for emotional than neutral items.</w:t>
      </w:r>
      <w:r>
        <w:t xml:space="preserve"> </w:t>
      </w:r>
      <w:r>
        <w:t xml:space="preserve">The empirical analyses distinguish these patterns statistically, but they do not determine how trial-level Early LPP should be mapped onto the encoding mechanism that produces emotional memory enhancement.</w:t>
      </w:r>
      <w:r>
        <w:t xml:space="preserve"> </w:t>
      </w:r>
      <w:r>
        <w:t xml:space="preserve">We therefore tested whether using item-level Early LPP to scale learning could replace the same increase in learning for every emotional item, or whether the two forms of modulation explained complementary variation in recall.</w:t>
      </w:r>
    </w:p>
    <w:p>
      <w:pPr>
        <w:pStyle w:val="BodyText"/>
      </w:pPr>
      <w:r>
        <w:t xml:space="preserve">We organized this comparison around three focused questions.</w:t>
      </w:r>
      <w:r>
        <w:t xml:space="preserve"> </w:t>
      </w:r>
      <w:r>
        <w:t xml:space="preserve">First, we tested whether allowing all emotional items to share the same adjustment to learning improved prediction of which items were recalled.</w:t>
      </w:r>
      <w:r>
        <w:t xml:space="preserve"> </w:t>
      </w:r>
      <w:r>
        <w:t xml:space="preserve">Next, we asked whether scaling learning with item-level Early LPP could replace that shared adjustment or improve prediction after it was included.</w:t>
      </w:r>
      <w:r>
        <w:t xml:space="preserve"> </w:t>
      </w:r>
      <w:r>
        <w:t xml:space="preserve">Finally, we investigated whether Early LPP scaling was better applied to both emotional and neutral items or only to emotional items.</w:t>
      </w:r>
      <w:r>
        <w:t xml:space="preserve"> </w:t>
      </w:r>
      <w:r>
        <w:t xml:space="preserve">We therefore crossed the presence or absence of preferential emotional learning with four LPP specifications: no LPP modulation, one relationship shared across emotional and neutral items, one relationship limited to emotional items, or both relationships together.</w:t>
      </w:r>
      <w:r>
        <w:t xml:space="preserve"> </w:t>
      </w:r>
      <w:r>
        <w:t xml:space="preserve">This crossing produced eight models.</w:t>
      </w:r>
      <w:r>
        <w:t xml:space="preserve"> </w:t>
      </w:r>
      <w:r>
        <w:t xml:space="preserve">All eight models used the same memory architecture.</w:t>
      </w:r>
      <w:r>
        <w:t xml:space="preserve"> </w:t>
      </w:r>
      <w:r>
        <w:t xml:space="preserve">We first describe that shared architecture and show where preferential emotional learning and Early LPP altered learning strength.</w:t>
      </w:r>
      <w:r>
        <w:t xml:space="preserve"> </w:t>
      </w:r>
      <w:r>
        <w:t xml:space="preserve">We then describe model fitting, compare the eight models, and use simulations to determine which observed patterns the fitted models reproduced.</w:t>
      </w:r>
    </w:p>
    <w:bookmarkStart w:id="40" w:name="ecmr-model-specification"/>
    <w:p>
      <w:pPr>
        <w:pStyle w:val="Heading3"/>
      </w:pPr>
      <w:r>
        <w:t xml:space="preserve">eCMR Model Specification</w:t>
      </w:r>
    </w:p>
    <w:p>
      <w:pPr>
        <w:pStyle w:val="FirstParagraph"/>
      </w:pPr>
      <w:r>
        <w:t xml:space="preserve">We modeled recall with an adaptation of emotional Context Maintenance and Retrieval (eCMR)</w:t>
      </w:r>
      <w:r>
        <w:t xml:space="preserve"> </w:t>
      </w:r>
      <w:r>
        <w:t xml:space="preserve">(</w:t>
      </w:r>
      <w:hyperlink w:anchor="ref-talmi2019retrieved">
        <w:r>
          <w:rPr>
            <w:rStyle w:val="Hyperlink"/>
          </w:rPr>
          <w:t xml:space="preserve">Talmi et al., 2019</w:t>
        </w:r>
      </w:hyperlink>
      <w:r>
        <w:t xml:space="preserve">)</w:t>
      </w:r>
      <w:r>
        <w:t xml:space="preserve">.</w:t>
      </w:r>
      <w:r>
        <w:t xml:space="preserve"> </w:t>
      </w:r>
      <w:r>
        <w:t xml:space="preserve">Like other retrieved-context models</w:t>
      </w:r>
      <w:r>
        <w:t xml:space="preserve"> </w:t>
      </w:r>
      <w:r>
        <w:t xml:space="preserve">(</w:t>
      </w:r>
      <w:hyperlink w:anchor="ref-howard2002distributed">
        <w:r>
          <w:rPr>
            <w:rStyle w:val="Hyperlink"/>
          </w:rPr>
          <w:t xml:space="preserve">Howard &amp; Kahana, 2002</w:t>
        </w:r>
      </w:hyperlink>
      <w:r>
        <w:t xml:space="preserve">;</w:t>
      </w:r>
      <w:r>
        <w:t xml:space="preserve"> </w:t>
      </w:r>
      <w:hyperlink w:anchor="ref-polyn2009context">
        <w:r>
          <w:rPr>
            <w:rStyle w:val="Hyperlink"/>
          </w:rPr>
          <w:t xml:space="preserve">Polyn et al., 2009</w:t>
        </w:r>
      </w:hyperlink>
      <w:r>
        <w:t xml:space="preserve">)</w:t>
      </w:r>
      <w:r>
        <w:t xml:space="preserve">, eCMR represents context as an evolving internal state shaped by recently processed events.</w:t>
      </w:r>
      <w:r>
        <w:t xml:space="preserve"> </w:t>
      </w:r>
      <w:r>
        <w:t xml:space="preserve">A studied item changes this state and forms associations in both directions: the item can later reinstate its study context, and the current context can later support retrieval of the item.</w:t>
      </w:r>
      <w:r>
        <w:t xml:space="preserve"> </w:t>
      </w:r>
      <w:r>
        <w:t xml:space="preserve">Because a recalled item reinstates context before the next recall, stronger context-to-item learning can change which items enter the recalled set.</w:t>
      </w:r>
    </w:p>
    <w:p>
      <w:pPr>
        <w:pStyle w:val="BodyText"/>
      </w:pPr>
      <w:r>
        <w:t xml:space="preserve">The context representation contained temporal and source components,</w:t>
      </w:r>
    </w:p>
    <w:p>
      <w:pPr>
        <w:pStyle w:val="BodyText"/>
      </w:pPr>
      <w:bookmarkStart w:id="34" w:name="eq-context-representation"/>
      <m:oMathPara>
        <m:oMathParaPr>
          <m:jc m:val="center"/>
        </m:oMathParaPr>
        <m:oMath>
          <m:sSub>
            <m:e>
              <m:r>
                <m:rPr>
                  <m:sty m:val="b"/>
                </m:rPr>
                <m:t>c</m:t>
              </m:r>
            </m:e>
            <m:sub>
              <m:r>
                <m:t>i</m:t>
              </m:r>
            </m:sub>
          </m:sSub>
          <m:r>
            <m:rPr>
              <m:sty m:val="p"/>
            </m:rPr>
            <m:t>=</m:t>
          </m:r>
          <m:d>
            <m:dPr>
              <m:begChr m:val="["/>
              <m:sepChr m:val=""/>
              <m:endChr m:val="]"/>
              <m:grow/>
            </m:dPr>
            <m:e>
              <m:m>
                <m:mPr>
                  <m:baseJc m:val="center"/>
                  <m:plcHide m:val="on"/>
                  <m:mcs>
                    <m:mc>
                      <m:mcPr>
                        <m:mcJc m:val="center"/>
                        <m:count m:val="1"/>
                      </m:mcPr>
                    </m:mc>
                  </m:mcs>
                </m:mPr>
                <m:mr>
                  <m:e>
                    <m:sSubSup>
                      <m:e>
                        <m:r>
                          <m:rPr>
                            <m:sty m:val="b"/>
                          </m:rPr>
                          <m:t>c</m:t>
                        </m:r>
                      </m:e>
                      <m:sub>
                        <m:r>
                          <m:t>i</m:t>
                        </m:r>
                      </m:sub>
                      <m:sup>
                        <m:r>
                          <m:t>T</m:t>
                        </m:r>
                      </m:sup>
                    </m:sSubSup>
                  </m:e>
                </m:mr>
                <m:mr>
                  <m:e>
                    <m:sSubSup>
                      <m:e>
                        <m:r>
                          <m:rPr>
                            <m:sty m:val="b"/>
                          </m:rPr>
                          <m:t>c</m:t>
                        </m:r>
                      </m:e>
                      <m:sub>
                        <m:r>
                          <m:t>i</m:t>
                        </m:r>
                      </m:sub>
                      <m:sup>
                        <m:r>
                          <m:t>S</m:t>
                        </m:r>
                      </m:sup>
                    </m:sSubSup>
                  </m:e>
                </m:mr>
              </m:m>
            </m:e>
          </m:d>
          <m:r>
            <m:rPr>
              <m:sty m:val="p"/>
            </m:rPr>
            <m:t>.</m:t>
          </m:r>
          <m:r>
            <m:t>  </m:t>
          </m:r>
          <m:d>
            <m:dPr>
              <m:begChr m:val="("/>
              <m:sepChr m:val=""/>
              <m:endChr m:val=")"/>
              <m:grow/>
            </m:dPr>
            <m:e>
              <m:r>
                <m:t>4</m:t>
              </m:r>
            </m:e>
          </m:d>
        </m:oMath>
      </m:oMathPara>
      <w:bookmarkEnd w:id="34"/>
    </w:p>
    <w:p>
      <w:pPr>
        <w:pStyle w:val="FirstParagraph"/>
      </w:pPr>
      <w:r>
        <w:t xml:space="preserve">Temporal context represented the evolving sequence of events, whereas source context represented whether an item was emotional or neutral.</w:t>
      </w:r>
      <w:r>
        <w:t xml:space="preserve"> </w:t>
      </w:r>
      <w:r>
        <w:t xml:space="preserve">These were components of one context representation rather than separate memory systems.</w:t>
      </w:r>
      <w:r>
        <w:t xml:space="preserve"> </w:t>
      </w:r>
      <w:r>
        <w:t xml:space="preserve">All eight models represented both source categories; models without preferential emotional learning therefore still distinguished emotional from neutral items.</w:t>
      </w:r>
    </w:p>
    <w:p>
      <w:pPr>
        <w:pStyle w:val="BodyText"/>
      </w:pPr>
      <w:r>
        <w:t xml:space="preserve">Within each list, a feature vector</w:t>
      </w:r>
      <w:r>
        <w:t xml:space="preserve"> </w:t>
      </w:r>
      <m:oMath>
        <m:sSub>
          <m:e>
            <m:r>
              <m:rPr>
                <m:sty m:val="b"/>
              </m:rPr>
              <m:t>f</m:t>
            </m:r>
          </m:e>
          <m:sub>
            <m:r>
              <m:t>i</m:t>
            </m:r>
          </m:sub>
        </m:sSub>
      </m:oMath>
      <w:r>
        <w:t xml:space="preserve"> </w:t>
      </w:r>
      <w:r>
        <w:t xml:space="preserve">uniquely identified each studied item</w:t>
      </w:r>
      <w:r>
        <w:t xml:space="preserve"> </w:t>
      </w:r>
      <m:oMath>
        <m:r>
          <m:t>i</m:t>
        </m:r>
      </m:oMath>
      <w:r>
        <w:t xml:space="preserve">.</w:t>
      </w:r>
      <w:r>
        <w:t xml:space="preserve"> </w:t>
      </w:r>
      <w:r>
        <w:t xml:space="preserve">Two associative mappings connected item features and context.</w:t>
      </w:r>
      <w:r>
        <w:t xml:space="preserve"> </w:t>
      </w:r>
      <w:r>
        <w:t xml:space="preserve">The feature-to-context mapping</w:t>
      </w:r>
      <w:r>
        <w:t xml:space="preserve"> </w:t>
      </w:r>
      <m:oMath>
        <m:sSup>
          <m:e>
            <m:r>
              <m:t>M</m:t>
            </m:r>
          </m:e>
          <m:sup>
            <m:r>
              <m:t>F</m:t>
            </m:r>
            <m:r>
              <m:t>C</m:t>
            </m:r>
          </m:sup>
        </m:sSup>
      </m:oMath>
      <w:r>
        <w:t xml:space="preserve"> </w:t>
      </w:r>
      <w:r>
        <w:t xml:space="preserve">allowed an item to reinstate context, whereas the context-to-feature mapping</w:t>
      </w:r>
      <w:r>
        <w:t xml:space="preserve"> </w:t>
      </w:r>
      <m:oMath>
        <m:sSup>
          <m:e>
            <m:r>
              <m:t>M</m:t>
            </m:r>
          </m:e>
          <m:sup>
            <m:r>
              <m:t>C</m:t>
            </m:r>
            <m:r>
              <m:t>F</m:t>
            </m:r>
          </m:sup>
        </m:sSup>
      </m:oMath>
      <w:r>
        <w:t xml:space="preserve"> </w:t>
      </w:r>
      <w:r>
        <w:t xml:space="preserve">allowed context to support candidate items.</w:t>
      </w:r>
      <w:r>
        <w:t xml:space="preserve"> </w:t>
      </w:r>
      <w:r>
        <w:t xml:space="preserve">On each study trial, the item first generated temporal and source contextual inputs.</w:t>
      </w:r>
      <w:r>
        <w:t xml:space="preserve"> </w:t>
      </w:r>
      <w:r>
        <w:t xml:space="preserve">For either component,</w:t>
      </w:r>
      <w:r>
        <w:t xml:space="preserve"> </w:t>
      </w:r>
      <m:oMath>
        <m:sSubSup>
          <m:e>
            <m:r>
              <m:rPr>
                <m:sty m:val="b"/>
              </m:rPr>
              <m:t>c</m:t>
            </m:r>
          </m:e>
          <m:sub>
            <m:r>
              <m:t>i</m:t>
            </m:r>
          </m:sub>
          <m:sup>
            <m:r>
              <m:rPr>
                <m:sty m:val="p"/>
              </m:rPr>
              <m:t>I</m:t>
            </m:r>
            <m:r>
              <m:rPr>
                <m:sty m:val="p"/>
              </m:rPr>
              <m:t>N</m:t>
            </m:r>
          </m:sup>
        </m:sSubSup>
      </m:oMath>
      <w:r>
        <w:t xml:space="preserve"> </w:t>
      </w:r>
      <w:r>
        <w:t xml:space="preserve">denotes the input generated by item</w:t>
      </w:r>
      <w:r>
        <w:t xml:space="preserve"> </w:t>
      </w:r>
      <m:oMath>
        <m:r>
          <m:t>i</m:t>
        </m:r>
      </m:oMath>
      <w:r>
        <w:t xml:space="preserve">, and context updated as follows:</w:t>
      </w:r>
    </w:p>
    <w:p>
      <w:pPr>
        <w:pStyle w:val="BodyText"/>
      </w:pPr>
      <w:bookmarkStart w:id="35" w:name="eq-context-update"/>
      <m:oMathPara>
        <m:oMathParaPr>
          <m:jc m:val="center"/>
        </m:oMathParaPr>
        <m:oMath>
          <m:sSub>
            <m:e>
              <m:r>
                <m:rPr>
                  <m:sty m:val="b"/>
                </m:rPr>
                <m:t>c</m:t>
              </m:r>
            </m:e>
            <m:sub>
              <m:r>
                <m:t>i</m:t>
              </m:r>
            </m:sub>
          </m:sSub>
          <m:r>
            <m:rPr>
              <m:sty m:val="p"/>
            </m:rPr>
            <m:t>=</m:t>
          </m:r>
          <m:sSub>
            <m:e>
              <m:r>
                <m:t>ρ</m:t>
              </m:r>
            </m:e>
            <m:sub>
              <m:r>
                <m:t>i</m:t>
              </m:r>
            </m:sub>
          </m:sSub>
          <m:sSub>
            <m:e>
              <m:r>
                <m:rPr>
                  <m:sty m:val="b"/>
                </m:rPr>
                <m:t>c</m:t>
              </m:r>
            </m:e>
            <m:sub>
              <m:r>
                <m:t>i</m:t>
              </m:r>
              <m:r>
                <m:rPr>
                  <m:sty m:val="p"/>
                </m:rPr>
                <m:t>−</m:t>
              </m:r>
              <m:r>
                <m:t>1</m:t>
              </m:r>
            </m:sub>
          </m:sSub>
          <m:r>
            <m:rPr>
              <m:sty m:val="p"/>
            </m:rPr>
            <m:t>+</m:t>
          </m:r>
          <m:r>
            <m:t>β</m:t>
          </m:r>
          <m:sSubSup>
            <m:e>
              <m:r>
                <m:rPr>
                  <m:sty m:val="b"/>
                </m:rPr>
                <m:t>c</m:t>
              </m:r>
            </m:e>
            <m:sub>
              <m:r>
                <m:t>i</m:t>
              </m:r>
            </m:sub>
            <m:sup>
              <m:r>
                <m:rPr>
                  <m:sty m:val="p"/>
                </m:rPr>
                <m:t>I</m:t>
              </m:r>
              <m:r>
                <m:rPr>
                  <m:sty m:val="p"/>
                </m:rPr>
                <m:t>N</m:t>
              </m:r>
            </m:sup>
          </m:sSubSup>
          <m:r>
            <m:rPr>
              <m:sty m:val="p"/>
            </m:rPr>
            <m:t>.</m:t>
          </m:r>
          <m:r>
            <m:t>  </m:t>
          </m:r>
          <m:d>
            <m:dPr>
              <m:begChr m:val="("/>
              <m:sepChr m:val=""/>
              <m:endChr m:val=")"/>
              <m:grow/>
            </m:dPr>
            <m:e>
              <m:r>
                <m:t>5</m:t>
              </m:r>
            </m:e>
          </m:d>
        </m:oMath>
      </m:oMathPara>
      <w:bookmarkEnd w:id="35"/>
    </w:p>
    <w:p>
      <w:pPr>
        <w:pStyle w:val="FirstParagraph"/>
      </w:pPr>
      <w:r>
        <w:t xml:space="preserve">Here,</w:t>
      </w:r>
      <w:r>
        <w:t xml:space="preserve"> </w:t>
      </w:r>
      <m:oMath>
        <m:r>
          <m:t>β</m:t>
        </m:r>
      </m:oMath>
      <w:r>
        <w:t xml:space="preserve"> </w:t>
      </w:r>
      <w:r>
        <w:t xml:space="preserve">controlled how strongly the current item changed context, and</w:t>
      </w:r>
      <w:r>
        <w:t xml:space="preserve"> </w:t>
      </w:r>
      <m:oMath>
        <m:sSub>
          <m:e>
            <m:r>
              <m:t>ρ</m:t>
            </m:r>
          </m:e>
          <m:sub>
            <m:r>
              <m:t>i</m:t>
            </m:r>
          </m:sub>
        </m:sSub>
      </m:oMath>
      <w:r>
        <w:t xml:space="preserve"> </w:t>
      </w:r>
      <w:r>
        <w:t xml:space="preserve">kept context at unit length.</w:t>
      </w:r>
      <w:r>
        <w:t xml:space="preserve"> </w:t>
      </w:r>
      <w:r>
        <w:t xml:space="preserve">Temporal and source context used separate encoding-drift parameters.</w:t>
      </w:r>
      <w:r>
        <w:t xml:space="preserve"> </w:t>
      </w:r>
      <w:r>
        <w:t xml:space="preserve">Only after both components had been updated did the model learn the item’s associations, binding the item to a context state it had already helped create.</w:t>
      </w:r>
    </w:p>
    <w:p>
      <w:pPr>
        <w:pStyle w:val="BodyText"/>
      </w:pPr>
      <w:r>
        <w:t xml:space="preserve">Feature-to-context learning stored the updated context that the item could later reinstate.</w:t>
      </w:r>
      <w:r>
        <w:t xml:space="preserve"> </w:t>
      </w:r>
      <w:r>
        <w:t xml:space="preserve">Context-to-feature learning determined how strongly that context would later support the item.</w:t>
      </w:r>
      <w:r>
        <w:t xml:space="preserve"> </w:t>
      </w:r>
      <w:r>
        <w:t xml:space="preserve">The temporal and source blocks of</w:t>
      </w:r>
      <w:r>
        <w:t xml:space="preserve"> </w:t>
      </w:r>
      <m:oMath>
        <m:sSup>
          <m:e>
            <m:r>
              <m:t>M</m:t>
            </m:r>
          </m:e>
          <m:sup>
            <m:r>
              <m:t>C</m:t>
            </m:r>
            <m:r>
              <m:t>F</m:t>
            </m:r>
          </m:sup>
        </m:sSup>
      </m:oMath>
      <w:r>
        <w:t xml:space="preserve">,</w:t>
      </w:r>
      <w:r>
        <w:t xml:space="preserve"> </w:t>
      </w:r>
      <m:oMath>
        <m:sSubSup>
          <m:e>
            <m:r>
              <m:t>M</m:t>
            </m:r>
          </m:e>
          <m:sub>
            <m:r>
              <m:t>T</m:t>
            </m:r>
          </m:sub>
          <m:sup>
            <m:r>
              <m:t>C</m:t>
            </m:r>
            <m:r>
              <m:t>F</m:t>
            </m:r>
          </m:sup>
        </m:sSubSup>
      </m:oMath>
      <w:r>
        <w:t xml:space="preserve"> </w:t>
      </w:r>
      <w:r>
        <w:t xml:space="preserve">and</w:t>
      </w:r>
      <w:r>
        <w:t xml:space="preserve"> </w:t>
      </w:r>
      <m:oMath>
        <m:sSubSup>
          <m:e>
            <m:r>
              <m:t>M</m:t>
            </m:r>
          </m:e>
          <m:sub>
            <m:r>
              <m:t>S</m:t>
            </m:r>
          </m:sub>
          <m:sup>
            <m:r>
              <m:t>C</m:t>
            </m:r>
            <m:r>
              <m:t>F</m:t>
            </m:r>
          </m:sup>
        </m:sSubSup>
      </m:oMath>
      <w:r>
        <w:t xml:space="preserve">, were updated as follows:</w:t>
      </w:r>
    </w:p>
    <w:p>
      <w:pPr>
        <w:pStyle w:val="BodyText"/>
      </w:pPr>
      <w:bookmarkStart w:id="36" w:name="eq-context-feature-learning"/>
      <m:oMathPara>
        <m:oMathParaPr>
          <m:jc m:val="center"/>
        </m:oMathParaPr>
        <m:oMath>
          <m:r>
            <m:t>Δ</m:t>
          </m:r>
          <m:sSubSup>
            <m:e>
              <m:r>
                <m:t>M</m:t>
              </m:r>
            </m:e>
            <m:sub>
              <m:r>
                <m:t>T</m:t>
              </m:r>
              <m:r>
                <m:rPr>
                  <m:sty m:val="p"/>
                </m:rPr>
                <m:t>,</m:t>
              </m:r>
              <m:r>
                <m:t>i</m:t>
              </m:r>
            </m:sub>
            <m:sup>
              <m:r>
                <m:t>C</m:t>
              </m:r>
              <m:r>
                <m:t>F</m:t>
              </m:r>
            </m:sup>
          </m:sSubSup>
          <m:r>
            <m:rPr>
              <m:sty m:val="p"/>
            </m:rPr>
            <m:t>=</m:t>
          </m:r>
          <m:sSub>
            <m:e>
              <m:r>
                <m:t>ϕ</m:t>
              </m:r>
            </m:e>
            <m:sub>
              <m:r>
                <m:t>i</m:t>
              </m:r>
            </m:sub>
          </m:sSub>
          <m:sSub>
            <m:e>
              <m:r>
                <m:rPr>
                  <m:sty m:val="b"/>
                </m:rPr>
                <m:t>f</m:t>
              </m:r>
            </m:e>
            <m:sub>
              <m:r>
                <m:t>i</m:t>
              </m:r>
            </m:sub>
          </m:sSub>
          <m:sSup>
            <m:e>
              <m:d>
                <m:dPr>
                  <m:begChr m:val="("/>
                  <m:sepChr m:val=""/>
                  <m:endChr m:val=")"/>
                  <m:grow/>
                </m:dPr>
                <m:e>
                  <m:sSubSup>
                    <m:e>
                      <m:r>
                        <m:rPr>
                          <m:sty m:val="b"/>
                        </m:rPr>
                        <m:t>c</m:t>
                      </m:r>
                    </m:e>
                    <m:sub>
                      <m:r>
                        <m:t>i</m:t>
                      </m:r>
                    </m:sub>
                    <m:sup>
                      <m:r>
                        <m:t>T</m:t>
                      </m:r>
                    </m:sup>
                  </m:sSubSup>
                </m:e>
              </m:d>
            </m:e>
            <m:sup>
              <m:r>
                <m:rPr>
                  <m:sty m:val="p"/>
                  <m:scr m:val="sans-serif"/>
                </m:rPr>
                <m:t>T</m:t>
              </m:r>
            </m:sup>
          </m:sSup>
          <m:r>
            <m:rPr>
              <m:sty m:val="p"/>
            </m:rPr>
            <m:t>,</m:t>
          </m:r>
          <m:r>
            <m:t>  </m:t>
          </m:r>
          <m:r>
            <m:t>Δ</m:t>
          </m:r>
          <m:sSubSup>
            <m:e>
              <m:r>
                <m:t>M</m:t>
              </m:r>
            </m:e>
            <m:sub>
              <m:r>
                <m:t>S</m:t>
              </m:r>
              <m:r>
                <m:rPr>
                  <m:sty m:val="p"/>
                </m:rPr>
                <m:t>,</m:t>
              </m:r>
              <m:r>
                <m:t>i</m:t>
              </m:r>
            </m:sub>
            <m:sup>
              <m:r>
                <m:t>C</m:t>
              </m:r>
              <m:r>
                <m:t>F</m:t>
              </m:r>
            </m:sup>
          </m:sSubSup>
          <m:r>
            <m:rPr>
              <m:sty m:val="p"/>
            </m:rPr>
            <m:t>=</m:t>
          </m:r>
          <m:sSubSup>
            <m:e>
              <m:r>
                <m:t>S</m:t>
              </m:r>
            </m:e>
            <m:sub>
              <m:r>
                <m:t>i</m:t>
              </m:r>
              <m:r>
                <m:t>j</m:t>
              </m:r>
            </m:sub>
            <m:sup>
              <m:r>
                <m:t>S</m:t>
              </m:r>
            </m:sup>
          </m:sSubSup>
          <m:sSub>
            <m:e>
              <m:r>
                <m:rPr>
                  <m:sty m:val="b"/>
                </m:rPr>
                <m:t>f</m:t>
              </m:r>
            </m:e>
            <m:sub>
              <m:r>
                <m:t>i</m:t>
              </m:r>
            </m:sub>
          </m:sSub>
          <m:sSup>
            <m:e>
              <m:d>
                <m:dPr>
                  <m:begChr m:val="("/>
                  <m:sepChr m:val=""/>
                  <m:endChr m:val=")"/>
                  <m:grow/>
                </m:dPr>
                <m:e>
                  <m:sSubSup>
                    <m:e>
                      <m:r>
                        <m:rPr>
                          <m:sty m:val="b"/>
                        </m:rPr>
                        <m:t>c</m:t>
                      </m:r>
                    </m:e>
                    <m:sub>
                      <m:r>
                        <m:t>i</m:t>
                      </m:r>
                    </m:sub>
                    <m:sup>
                      <m:r>
                        <m:t>S</m:t>
                      </m:r>
                    </m:sup>
                  </m:sSubSup>
                </m:e>
              </m:d>
            </m:e>
            <m:sup>
              <m:r>
                <m:rPr>
                  <m:sty m:val="p"/>
                  <m:scr m:val="sans-serif"/>
                </m:rPr>
                <m:t>T</m:t>
              </m:r>
            </m:sup>
          </m:sSup>
          <m:r>
            <m:rPr>
              <m:sty m:val="p"/>
            </m:rPr>
            <m:t>.</m:t>
          </m:r>
          <m:r>
            <m:t>  </m:t>
          </m:r>
          <m:d>
            <m:dPr>
              <m:begChr m:val="("/>
              <m:sepChr m:val=""/>
              <m:endChr m:val=")"/>
              <m:grow/>
            </m:dPr>
            <m:e>
              <m:r>
                <m:t>6</m:t>
              </m:r>
            </m:e>
          </m:d>
        </m:oMath>
      </m:oMathPara>
      <w:bookmarkEnd w:id="36"/>
    </w:p>
    <w:p>
      <w:pPr>
        <w:pStyle w:val="FirstParagraph"/>
      </w:pPr>
      <w:r>
        <w:t xml:space="preserve">The primacy gradient</w:t>
      </w:r>
      <w:r>
        <w:t xml:space="preserve"> </w:t>
      </w:r>
      <m:oMath>
        <m:sSub>
          <m:e>
            <m:r>
              <m:t>ϕ</m:t>
            </m:r>
          </m:e>
          <m:sub>
            <m:r>
              <m:t>i</m:t>
            </m:r>
          </m:sub>
        </m:sSub>
        <m:r>
          <m:rPr>
            <m:sty m:val="p"/>
          </m:rPr>
          <m:t>=</m:t>
        </m:r>
        <m:r>
          <m:t>1</m:t>
        </m:r>
        <m:r>
          <m:rPr>
            <m:sty m:val="p"/>
          </m:rPr>
          <m:t>+</m:t>
        </m:r>
        <m:sSub>
          <m:e>
            <m:r>
              <m:t>ϕ</m:t>
            </m:r>
          </m:e>
          <m:sub>
            <m:r>
              <m:t>s</m:t>
            </m:r>
          </m:sub>
        </m:sSub>
        <m:r>
          <m:rPr>
            <m:sty m:val="p"/>
          </m:rPr>
          <m:t>exp</m:t>
        </m:r>
        <m:d>
          <m:dPr>
            <m:begChr m:val="["/>
            <m:sepChr m:val=""/>
            <m:endChr m:val="]"/>
            <m:grow/>
          </m:dPr>
          <m:e>
            <m:r>
              <m:rPr>
                <m:sty m:val="p"/>
              </m:rPr>
              <m:t>−</m:t>
            </m:r>
            <m:sSub>
              <m:e>
                <m:r>
                  <m:t>ϕ</m:t>
                </m:r>
              </m:e>
              <m:sub>
                <m:r>
                  <m:t>d</m:t>
                </m:r>
              </m:sub>
            </m:sSub>
            <m:d>
              <m:dPr>
                <m:begChr m:val="("/>
                <m:sepChr m:val=""/>
                <m:endChr m:val=")"/>
                <m:grow/>
              </m:dPr>
              <m:e>
                <m:r>
                  <m:t>i</m:t>
                </m:r>
                <m:r>
                  <m:rPr>
                    <m:sty m:val="p"/>
                  </m:rPr>
                  <m:t>−</m:t>
                </m:r>
                <m:r>
                  <m:t>1</m:t>
                </m:r>
              </m:e>
            </m:d>
          </m:e>
        </m:d>
      </m:oMath>
      <w:r>
        <w:t xml:space="preserve"> </w:t>
      </w:r>
      <w:r>
        <w:t xml:space="preserve">temporarily strengthened learning for early list positions.</w:t>
      </w:r>
      <w:r>
        <w:t xml:space="preserve"> </w:t>
      </w:r>
      <w:r>
        <w:t xml:space="preserve">The focal emotional learning and Early LPP multipliers entered only the source learning strength</w:t>
      </w:r>
      <w:r>
        <w:t xml:space="preserve"> </w:t>
      </w:r>
      <m:oMath>
        <m:sSubSup>
          <m:e>
            <m:r>
              <m:t>S</m:t>
            </m:r>
          </m:e>
          <m:sub>
            <m:r>
              <m:t>i</m:t>
            </m:r>
            <m:r>
              <m:t>j</m:t>
            </m:r>
          </m:sub>
          <m:sup>
            <m:r>
              <m:t>S</m:t>
            </m:r>
          </m:sup>
        </m:sSubSup>
      </m:oMath>
      <w:r>
        <w:t xml:space="preserve">, allowing them to be compared through the same pathway while temporal learning remained unchanged.</w:t>
      </w:r>
    </w:p>
    <w:p>
      <w:pPr>
        <w:pStyle w:val="BodyText"/>
      </w:pPr>
      <w:r>
        <w:t xml:space="preserve">At recall onset, both context components shifted toward their start-of-list states.</w:t>
      </w:r>
      <w:r>
        <w:t xml:space="preserve"> </w:t>
      </w:r>
      <w:r>
        <w:t xml:space="preserve">Temporal and source context then provided additive support</w:t>
      </w:r>
      <w:r>
        <w:t xml:space="preserve"> </w:t>
      </w:r>
      <m:oMath>
        <m:sSub>
          <m:e>
            <m:r>
              <m:t>a</m:t>
            </m:r>
          </m:e>
          <m:sub>
            <m:r>
              <m:t>i</m:t>
            </m:r>
          </m:sub>
        </m:sSub>
      </m:oMath>
      <w:r>
        <w:t xml:space="preserve"> </w:t>
      </w:r>
      <w:r>
        <w:t xml:space="preserve">for each candidate item:</w:t>
      </w:r>
    </w:p>
    <w:p>
      <w:pPr>
        <w:pStyle w:val="BodyText"/>
      </w:pPr>
      <w:bookmarkStart w:id="37" w:name="eq-retrieval-support"/>
      <m:oMathPara>
        <m:oMathParaPr>
          <m:jc m:val="center"/>
        </m:oMathParaPr>
        <m:oMath>
          <m:sSub>
            <m:e>
              <m:r>
                <m:t>a</m:t>
              </m:r>
            </m:e>
            <m:sub>
              <m:r>
                <m:t>i</m:t>
              </m:r>
            </m:sub>
          </m:sSub>
          <m:r>
            <m:rPr>
              <m:sty m:val="p"/>
            </m:rPr>
            <m:t>=</m:t>
          </m:r>
          <m:sSub>
            <m:e>
              <m:d>
                <m:dPr>
                  <m:begChr m:val="["/>
                  <m:sepChr m:val=""/>
                  <m:endChr m:val="]"/>
                  <m:grow/>
                </m:dPr>
                <m:e>
                  <m:sSup>
                    <m:e>
                      <m:r>
                        <m:t>M</m:t>
                      </m:r>
                    </m:e>
                    <m:sup>
                      <m:r>
                        <m:t>C</m:t>
                      </m:r>
                      <m:r>
                        <m:t>F</m:t>
                      </m:r>
                    </m:sup>
                  </m:sSup>
                  <m:r>
                    <m:rPr>
                      <m:sty m:val="b"/>
                    </m:rPr>
                    <m:t>c</m:t>
                  </m:r>
                </m:e>
              </m:d>
            </m:e>
            <m:sub>
              <m:r>
                <m:t>i</m:t>
              </m:r>
            </m:sub>
          </m:sSub>
          <m:r>
            <m:rPr>
              <m:sty m:val="p"/>
            </m:rPr>
            <m:t>=</m:t>
          </m:r>
          <m:sSub>
            <m:e>
              <m:d>
                <m:dPr>
                  <m:begChr m:val="["/>
                  <m:sepChr m:val=""/>
                  <m:endChr m:val="]"/>
                  <m:grow/>
                </m:dPr>
                <m:e>
                  <m:sSubSup>
                    <m:e>
                      <m:r>
                        <m:t>M</m:t>
                      </m:r>
                    </m:e>
                    <m:sub>
                      <m:r>
                        <m:t>T</m:t>
                      </m:r>
                    </m:sub>
                    <m:sup>
                      <m:r>
                        <m:t>C</m:t>
                      </m:r>
                      <m:r>
                        <m:t>F</m:t>
                      </m:r>
                    </m:sup>
                  </m:sSubSup>
                  <m:sSup>
                    <m:e>
                      <m:r>
                        <m:rPr>
                          <m:sty m:val="b"/>
                        </m:rPr>
                        <m:t>c</m:t>
                      </m:r>
                    </m:e>
                    <m:sup>
                      <m:r>
                        <m:t>T</m:t>
                      </m:r>
                    </m:sup>
                  </m:sSup>
                </m:e>
              </m:d>
            </m:e>
            <m:sub>
              <m:r>
                <m:t>i</m:t>
              </m:r>
            </m:sub>
          </m:sSub>
          <m:r>
            <m:rPr>
              <m:sty m:val="p"/>
            </m:rPr>
            <m:t>+</m:t>
          </m:r>
          <m:sSub>
            <m:e>
              <m:d>
                <m:dPr>
                  <m:begChr m:val="["/>
                  <m:sepChr m:val=""/>
                  <m:endChr m:val="]"/>
                  <m:grow/>
                </m:dPr>
                <m:e>
                  <m:sSubSup>
                    <m:e>
                      <m:r>
                        <m:t>M</m:t>
                      </m:r>
                    </m:e>
                    <m:sub>
                      <m:r>
                        <m:t>S</m:t>
                      </m:r>
                    </m:sub>
                    <m:sup>
                      <m:r>
                        <m:t>C</m:t>
                      </m:r>
                      <m:r>
                        <m:t>F</m:t>
                      </m:r>
                    </m:sup>
                  </m:sSubSup>
                  <m:sSup>
                    <m:e>
                      <m:r>
                        <m:rPr>
                          <m:sty m:val="b"/>
                        </m:rPr>
                        <m:t>c</m:t>
                      </m:r>
                    </m:e>
                    <m:sup>
                      <m:r>
                        <m:t>S</m:t>
                      </m:r>
                    </m:sup>
                  </m:sSup>
                </m:e>
              </m:d>
            </m:e>
            <m:sub>
              <m:r>
                <m:t>i</m:t>
              </m:r>
            </m:sub>
          </m:sSub>
          <m:r>
            <m:rPr>
              <m:sty m:val="p"/>
            </m:rPr>
            <m:t>.</m:t>
          </m:r>
          <m:r>
            <m:t>  </m:t>
          </m:r>
          <m:d>
            <m:dPr>
              <m:begChr m:val="("/>
              <m:sepChr m:val=""/>
              <m:endChr m:val=")"/>
              <m:grow/>
            </m:dPr>
            <m:e>
              <m:r>
                <m:t>7</m:t>
              </m:r>
            </m:e>
          </m:d>
        </m:oMath>
      </m:oMathPara>
      <w:bookmarkEnd w:id="37"/>
    </w:p>
    <w:p>
      <w:pPr>
        <w:pStyle w:val="FirstParagraph"/>
      </w:pPr>
      <w:r>
        <w:t xml:space="preserve">Among the studied items not yet recalled, choice sensitivity</w:t>
      </w:r>
      <w:r>
        <w:t xml:space="preserve"> </w:t>
      </w:r>
      <m:oMath>
        <m:sSub>
          <m:e>
            <m:r>
              <m:t>τ</m:t>
            </m:r>
          </m:e>
          <m:sub>
            <m:r>
              <m:t>c</m:t>
            </m:r>
          </m:sub>
        </m:sSub>
      </m:oMath>
      <w:r>
        <w:t xml:space="preserve"> </w:t>
      </w:r>
      <w:r>
        <w:t xml:space="preserve">converted this support into the probability of selecting item</w:t>
      </w:r>
      <w:r>
        <w:t xml:space="preserve"> </w:t>
      </w:r>
      <m:oMath>
        <m:r>
          <m:t>i</m:t>
        </m:r>
      </m:oMath>
      <w:r>
        <w:t xml:space="preserve"> </w:t>
      </w:r>
      <w:r>
        <w:t xml:space="preserve">next:</w:t>
      </w:r>
    </w:p>
    <w:p>
      <w:pPr>
        <w:pStyle w:val="BodyText"/>
      </w:pPr>
      <w:bookmarkStart w:id="38" w:name="eq-recall-choice"/>
      <m:oMathPara>
        <m:oMathParaPr>
          <m:jc m:val="center"/>
        </m:oMathParaPr>
        <m:oMath>
          <m:r>
            <m:t>P</m:t>
          </m:r>
          <m:d>
            <m:dPr>
              <m:begChr m:val="("/>
              <m:sepChr m:val=""/>
              <m:endChr m:val=")"/>
              <m:grow/>
            </m:dPr>
            <m:e>
              <m:sSub>
                <m:e>
                  <m:r>
                    <m:t>R</m:t>
                  </m:r>
                </m:e>
                <m:sub>
                  <m:r>
                    <m:t>t</m:t>
                  </m:r>
                </m:sub>
              </m:sSub>
              <m:r>
                <m:rPr>
                  <m:sty m:val="p"/>
                </m:rPr>
                <m:t>=</m:t>
              </m:r>
              <m:r>
                <m:t>i</m:t>
              </m:r>
              <m:r>
                <m:rPr>
                  <m:sty m:val="p"/>
                </m:rPr>
                <m:t>∣</m:t>
              </m:r>
              <m:sSub>
                <m:e>
                  <m:r>
                    <m:rPr>
                      <m:sty m:val="p"/>
                      <m:scr m:val="script"/>
                    </m:rPr>
                    <m:t>A</m:t>
                  </m:r>
                </m:e>
                <m:sub>
                  <m:r>
                    <m:t>t</m:t>
                  </m:r>
                </m:sub>
              </m:sSub>
            </m:e>
          </m:d>
          <m:r>
            <m:rPr>
              <m:sty m:val="p"/>
            </m:rPr>
            <m:t>=</m:t>
          </m:r>
          <m:f>
            <m:fPr>
              <m:type m:val="bar"/>
            </m:fPr>
            <m:num>
              <m:sSubSup>
                <m:e>
                  <m:r>
                    <m:t>a</m:t>
                  </m:r>
                </m:e>
                <m:sub>
                  <m:r>
                    <m:t>i</m:t>
                  </m:r>
                </m:sub>
                <m:sup>
                  <m:sSub>
                    <m:e>
                      <m:r>
                        <m:t>τ</m:t>
                      </m:r>
                    </m:e>
                    <m:sub>
                      <m:r>
                        <m:t>c</m:t>
                      </m:r>
                    </m:sub>
                  </m:sSub>
                </m:sup>
              </m:sSubSup>
            </m:num>
            <m:den>
              <m:nary>
                <m:naryPr>
                  <m:chr m:val="∑"/>
                  <m:limLoc m:val="undOvr"/>
                  <m:subHide m:val="off"/>
                  <m:supHide m:val="on"/>
                </m:naryPr>
                <m:sub>
                  <m:r>
                    <m:t>k</m:t>
                  </m:r>
                  <m:r>
                    <m:rPr>
                      <m:sty m:val="p"/>
                    </m:rPr>
                    <m:t>∈</m:t>
                  </m:r>
                  <m:sSub>
                    <m:e>
                      <m:r>
                        <m:rPr>
                          <m:sty m:val="p"/>
                          <m:scr m:val="script"/>
                        </m:rPr>
                        <m:t>A</m:t>
                      </m:r>
                    </m:e>
                    <m:sub>
                      <m:r>
                        <m:t>t</m:t>
                      </m:r>
                    </m:sub>
                  </m:sSub>
                </m:sub>
                <m:sup>
                  <m:r>
                    <m:t>​</m:t>
                  </m:r>
                </m:sup>
                <m:e>
                  <m:sSubSup>
                    <m:e>
                      <m:r>
                        <m:t>a</m:t>
                      </m:r>
                    </m:e>
                    <m:sub>
                      <m:r>
                        <m:t>k</m:t>
                      </m:r>
                    </m:sub>
                    <m:sup>
                      <m:sSub>
                        <m:e>
                          <m:r>
                            <m:t>τ</m:t>
                          </m:r>
                        </m:e>
                        <m:sub>
                          <m:r>
                            <m:t>c</m:t>
                          </m:r>
                        </m:sub>
                      </m:sSub>
                    </m:sup>
                  </m:sSubSup>
                </m:e>
              </m:nary>
            </m:den>
          </m:f>
          <m:r>
            <m:rPr>
              <m:sty m:val="p"/>
            </m:rPr>
            <m:t>,</m:t>
          </m:r>
          <m:r>
            <m:t>  </m:t>
          </m:r>
          <m:r>
            <m:t>i</m:t>
          </m:r>
          <m:r>
            <m:rPr>
              <m:sty m:val="p"/>
            </m:rPr>
            <m:t>∈</m:t>
          </m:r>
          <m:sSub>
            <m:e>
              <m:r>
                <m:rPr>
                  <m:sty m:val="p"/>
                  <m:scr m:val="script"/>
                </m:rPr>
                <m:t>A</m:t>
              </m:r>
            </m:e>
            <m:sub>
              <m:r>
                <m:t>t</m:t>
              </m:r>
            </m:sub>
          </m:sSub>
          <m:r>
            <m:rPr>
              <m:sty m:val="p"/>
            </m:rPr>
            <m:t>,</m:t>
          </m:r>
          <m:r>
            <m:t>  </m:t>
          </m:r>
          <m:d>
            <m:dPr>
              <m:begChr m:val="("/>
              <m:sepChr m:val=""/>
              <m:endChr m:val=")"/>
              <m:grow/>
            </m:dPr>
            <m:e>
              <m:r>
                <m:t>8</m:t>
              </m:r>
            </m:e>
          </m:d>
        </m:oMath>
      </m:oMathPara>
      <w:bookmarkEnd w:id="38"/>
    </w:p>
    <w:p>
      <w:pPr>
        <w:pStyle w:val="FirstParagraph"/>
      </w:pPr>
      <w:r>
        <w:t xml:space="preserve">where</w:t>
      </w:r>
      <w:r>
        <w:t xml:space="preserve"> </w:t>
      </w:r>
      <m:oMath>
        <m:sSub>
          <m:e>
            <m:r>
              <m:rPr>
                <m:sty m:val="p"/>
                <m:scr m:val="script"/>
              </m:rPr>
              <m:t>A</m:t>
            </m:r>
          </m:e>
          <m:sub>
            <m:r>
              <m:t>t</m:t>
            </m:r>
          </m:sub>
        </m:sSub>
      </m:oMath>
      <w:r>
        <w:t xml:space="preserve"> </w:t>
      </w:r>
      <w:r>
        <w:t xml:space="preserve">contains the items still available at recall step</w:t>
      </w:r>
      <w:r>
        <w:t xml:space="preserve"> </w:t>
      </w:r>
      <m:oMath>
        <m:r>
          <m:t>t</m:t>
        </m:r>
      </m:oMath>
      <w:r>
        <w:t xml:space="preserve">.</w:t>
      </w:r>
      <w:r>
        <w:t xml:space="preserve"> </w:t>
      </w:r>
      <w:r>
        <w:t xml:space="preserve">After each selection, the item was removed from this set and reinstated its temporal and source context, changing the cue for the next recall.</w:t>
      </w:r>
      <w:r>
        <w:t xml:space="preserve"> </w:t>
      </w:r>
      <w:r>
        <w:t xml:space="preserve">This cycle links source learning strength to an item’s probability of entering the recalled set.</w:t>
      </w:r>
    </w:p>
    <w:p>
      <w:pPr>
        <w:pStyle w:val="BodyText"/>
      </w:pPr>
      <w:r>
        <w:t xml:space="preserve">The present model was a focused adaptation of published eCMR.</w:t>
      </w:r>
      <w:r>
        <w:t xml:space="preserve"> </w:t>
      </w:r>
      <w:r>
        <w:t xml:space="preserve">Item-specific semantic associations were omitted because no validated similarity matrix was available for these stimuli.</w:t>
      </w:r>
      <w:r>
        <w:t xml:space="preserve"> </w:t>
      </w:r>
      <w:r>
        <w:t xml:space="preserve">We also omitted source-switch disruption, which describes how transitions between emotional and neutral items alter temporal context, because this mechanism was outside the present comparison of learning-strength rules.</w:t>
      </w:r>
      <w:r>
        <w:t xml:space="preserve"> </w:t>
      </w:r>
      <w:r>
        <w:t xml:space="preserve">Source drift was treated differently during study and recall because the two phases were differently constrained by the data.</w:t>
      </w:r>
      <w:r>
        <w:t xml:space="preserve"> </w:t>
      </w:r>
      <w:r>
        <w:t xml:space="preserve">The observed study sequence allowed source-context drift during encoding to be estimated: smaller values allowed source information from preceding items to persist, whereas larger values made the current item more strongly determine source context.</w:t>
      </w:r>
      <w:r>
        <w:t xml:space="preserve"> </w:t>
      </w:r>
      <w:r>
        <w:t xml:space="preserve">Recall order was not recorded, so the data did not directly reveal how source context carried over from one recall to the next.</w:t>
      </w:r>
      <w:r>
        <w:t xml:space="preserve"> </w:t>
      </w:r>
      <w:r>
        <w:t xml:space="preserve">We therefore fixed source reinstatement during recall at 1, so each recalled item fully reinstated its learned source context.</w:t>
      </w:r>
      <w:r>
        <w:t xml:space="preserve"> </w:t>
      </w:r>
      <w:r>
        <w:t xml:space="preserve">This setting can influence how one recall cues the next, but it was held constant across models while we compared how emotion and Early LPP altered source learning.</w:t>
      </w:r>
    </w:p>
    <w:p>
      <w:pPr>
        <w:pStyle w:val="BodyText"/>
      </w:pPr>
      <w:r>
        <w:t xml:space="preserve">A separate choice concerned recall totals.</w:t>
      </w:r>
      <w:r>
        <w:t xml:space="preserve"> </w:t>
      </w:r>
      <w:r>
        <w:t xml:space="preserve">The present comparison was designed to test whether alternative learning rate rules changed which items entered the recalled set.</w:t>
      </w:r>
      <w:r>
        <w:t xml:space="preserve"> </w:t>
      </w:r>
      <w:r>
        <w:t xml:space="preserve">Predicting how many items were recalled would additionally require choosing a termination rule that converts the current state of retrieval into a decision to continue or stop.</w:t>
      </w:r>
      <w:r>
        <w:t xml:space="preserve"> </w:t>
      </w:r>
      <w:r>
        <w:t xml:space="preserve">Different termination rules can map the same pattern of item strengths onto different recall totals, so including one would combine the encoding question with a separate question about stopping.</w:t>
      </w:r>
      <w:r>
        <w:t xml:space="preserve"> </w:t>
      </w:r>
      <w:r>
        <w:t xml:space="preserve">We therefore used the normalized selection rule above in place of the published accumulator and stopping process and conditioned the likelihood on each list’s observed recall count.</w:t>
      </w:r>
      <w:r>
        <w:t xml:space="preserve"> </w:t>
      </w:r>
      <w:r>
        <w:t xml:space="preserve">For a list with</w:t>
      </w:r>
      <w:r>
        <w:t xml:space="preserve"> </w:t>
      </w:r>
      <m:oMath>
        <m:r>
          <m:t>k</m:t>
        </m:r>
      </m:oMath>
      <w:r>
        <w:t xml:space="preserve"> </w:t>
      </w:r>
      <w:r>
        <w:t xml:space="preserve">recalled items, the model evaluated which</w:t>
      </w:r>
      <w:r>
        <w:t xml:space="preserve"> </w:t>
      </w:r>
      <m:oMath>
        <m:r>
          <m:t>k</m:t>
        </m:r>
      </m:oMath>
      <w:r>
        <w:t xml:space="preserve"> </w:t>
      </w:r>
      <w:r>
        <w:t xml:space="preserve">items were recalled, not why recall ended after</w:t>
      </w:r>
      <w:r>
        <w:t xml:space="preserve"> </w:t>
      </w:r>
      <m:oMath>
        <m:r>
          <m:t>k</m:t>
        </m:r>
      </m:oMath>
      <w:r>
        <w:t xml:space="preserve">.</w:t>
      </w:r>
      <w:r>
        <w:t xml:space="preserve"> </w:t>
      </w:r>
      <w:r>
        <w:t xml:space="preserve">The comparison therefore concerns the composition of the recalled set rather than the mechanisms determining recall totals.</w:t>
      </w:r>
    </w:p>
    <w:p>
      <w:pPr>
        <w:pStyle w:val="Heading4"/>
        <w:rPr>
          <w:vanish/>
          <w:specVanish/>
        </w:rPr>
      </w:pPr>
      <w:r>
        <w:t>Simulating encoding strength in eCMR.</w:t>
      </w:r>
      <w:r>
        <w:t xml:space="preserve"> </w:t>
      </w:r>
    </w:p>
    <w:p>
      <w:pPr>
        <w:pStyle w:val="BodyText"/>
      </w:pPr>
      <w:r>
        <w:t xml:space="preserve"> Following the attention-category variant of eCMR</w:t>
      </w:r>
      <w:r>
        <w:t xml:space="preserve"> </w:t>
      </w:r>
      <w:r>
        <w:t xml:space="preserve">(</w:t>
      </w:r>
      <w:hyperlink w:anchor="ref-talmi2019retrieved">
        <w:r>
          <w:rPr>
            <w:rStyle w:val="Hyperlink"/>
          </w:rPr>
          <w:t xml:space="preserve">Talmi et al., 2019</w:t>
        </w:r>
      </w:hyperlink>
      <w:r>
        <w:t xml:space="preserve">)</w:t>
      </w:r>
      <w:r>
        <w:t xml:space="preserve">, every model estimated a baseline strength for associations from source context to items,</w:t>
      </w:r>
      <w:r>
        <w:t xml:space="preserve"> </w:t>
      </w:r>
      <m:oMath>
        <m:r>
          <m:t>ω</m:t>
        </m:r>
        <m:sSub>
          <m:e>
            <m:r>
              <m:t>ϕ</m:t>
            </m:r>
          </m:e>
          <m:sub>
            <m:r>
              <m:t>i</m:t>
            </m:r>
          </m:sub>
        </m:sSub>
      </m:oMath>
      <w:r>
        <w:t xml:space="preserve">.</w:t>
      </w:r>
      <w:r>
        <w:t xml:space="preserve"> </w:t>
      </w:r>
      <w:r>
        <w:t xml:space="preserve">Here,</w:t>
      </w:r>
      <w:r>
        <w:t xml:space="preserve"> </w:t>
      </w:r>
      <m:oMath>
        <m:r>
          <m:t>ω</m:t>
        </m:r>
      </m:oMath>
      <w:r>
        <w:t xml:space="preserve"> </w:t>
      </w:r>
      <w:r>
        <w:t xml:space="preserve">scaled those associations relative to associations from temporal context to items, and</w:t>
      </w:r>
      <w:r>
        <w:t xml:space="preserve"> </w:t>
      </w:r>
      <m:oMath>
        <m:sSub>
          <m:e>
            <m:r>
              <m:t>ϕ</m:t>
            </m:r>
          </m:e>
          <m:sub>
            <m:r>
              <m:t>i</m:t>
            </m:r>
          </m:sub>
        </m:sSub>
      </m:oMath>
      <w:r>
        <w:t xml:space="preserve"> </w:t>
      </w:r>
      <w:r>
        <w:t xml:space="preserve">supplied the standard CMR primacy gradient</w:t>
      </w:r>
      <w:r>
        <w:t xml:space="preserve"> </w:t>
      </w:r>
      <w:r>
        <w:t xml:space="preserve">(</w:t>
      </w:r>
      <w:hyperlink w:anchor="ref-polyn2009context">
        <w:r>
          <w:rPr>
            <w:rStyle w:val="Hyperlink"/>
          </w:rPr>
          <w:t xml:space="preserve">Polyn et al., 2009</w:t>
        </w:r>
      </w:hyperlink>
      <w:r>
        <w:t xml:space="preserve">;</w:t>
      </w:r>
      <w:r>
        <w:t xml:space="preserve"> </w:t>
      </w:r>
      <w:hyperlink w:anchor="ref-sederberg2008context">
        <w:r>
          <w:rPr>
            <w:rStyle w:val="Hyperlink"/>
          </w:rPr>
          <w:t xml:space="preserve">Sederberg et al., 2008</w:t>
        </w:r>
      </w:hyperlink>
      <w:r>
        <w:t xml:space="preserve">)</w:t>
      </w:r>
      <w:r>
        <w:t xml:space="preserve">.</w:t>
      </w:r>
      <w:r>
        <w:t xml:space="preserve"> </w:t>
      </w:r>
      <w:r>
        <w:t xml:space="preserve">Preferential emotional processing was assigned to source rather than temporal learning.</w:t>
      </w:r>
      <w:r>
        <w:t xml:space="preserve"> </w:t>
      </w:r>
      <w:r>
        <w:t xml:space="preserve">If emotional processing instead strengthened temporal learning, emotional pure lists should show greater temporal clustering than neutral pure lists.</w:t>
      </w:r>
      <w:r>
        <w:t xml:space="preserve"> </w:t>
      </w:r>
      <w:r>
        <w:t xml:space="preserve">This difference was not observed in the datasets used to motivate eCMR</w:t>
      </w:r>
      <w:r>
        <w:t xml:space="preserve"> </w:t>
      </w:r>
      <w:r>
        <w:t xml:space="preserve">(</w:t>
      </w:r>
      <w:hyperlink w:anchor="ref-talmi2019retrieved">
        <w:r>
          <w:rPr>
            <w:rStyle w:val="Hyperlink"/>
          </w:rPr>
          <w:t xml:space="preserve">Talmi et al., 2019</w:t>
        </w:r>
      </w:hyperlink>
      <w:r>
        <w:t xml:space="preserve">)</w:t>
      </w:r>
      <w:r>
        <w:t xml:space="preserve">.</w:t>
      </w:r>
    </w:p>
    <w:p>
      <w:pPr>
        <w:pStyle w:val="BodyText"/>
      </w:pPr>
      <w:r>
        <w:t xml:space="preserve">The source learning rate</w:t>
      </w:r>
      <w:r>
        <w:t xml:space="preserve"> </w:t>
      </w:r>
      <m:oMath>
        <m:r>
          <m:t>ω</m:t>
        </m:r>
        <m:sSub>
          <m:e>
            <m:r>
              <m:t>ϕ</m:t>
            </m:r>
          </m:e>
          <m:sub>
            <m:r>
              <m:t>i</m:t>
            </m:r>
          </m:sub>
        </m:sSub>
      </m:oMath>
      <w:r>
        <w:t xml:space="preserve"> </w:t>
      </w:r>
      <w:r>
        <w:t xml:space="preserve">was further scaled by</w:t>
      </w:r>
      <w:r>
        <w:t xml:space="preserve"> </w:t>
      </w:r>
      <m:oMath>
        <m:sSub>
          <m:e>
            <m:r>
              <m:t>ϕ</m:t>
            </m:r>
          </m:e>
          <m:sub>
            <m:r>
              <m:rPr>
                <m:sty m:val="p"/>
              </m:rPr>
              <m:t>e</m:t>
            </m:r>
            <m:r>
              <m:rPr>
                <m:sty m:val="p"/>
              </m:rPr>
              <m:t>m</m:t>
            </m:r>
            <m:r>
              <m:rPr>
                <m:sty m:val="p"/>
              </m:rPr>
              <m:t>o</m:t>
            </m:r>
            <m:r>
              <m:rPr>
                <m:sty m:val="p"/>
              </m:rPr>
              <m:t>t</m:t>
            </m:r>
          </m:sub>
        </m:sSub>
      </m:oMath>
      <w:r>
        <w:t xml:space="preserve">, a term we refer to as the</w:t>
      </w:r>
      <w:r>
        <w:t xml:space="preserve"> </w:t>
      </w:r>
      <w:r>
        <w:t xml:space="preserve">“emotional multiplier”</w:t>
      </w:r>
      <w:r>
        <w:t xml:space="preserve">.</w:t>
      </w:r>
      <w:r>
        <w:t xml:space="preserve"> </w:t>
      </w:r>
      <w:r>
        <w:t xml:space="preserve">This multiplier applied the same adjustment to every emotional item.</w:t>
      </w:r>
      <w:r>
        <w:t xml:space="preserve"> </w:t>
      </w:r>
      <w:r>
        <w:t xml:space="preserve">Models without preferential emotional learning fixed the emotional multiplier</w:t>
      </w:r>
      <w:r>
        <w:t xml:space="preserve"> </w:t>
      </w:r>
      <m:oMath>
        <m:sSub>
          <m:e>
            <m:r>
              <m:t>ϕ</m:t>
            </m:r>
          </m:e>
          <m:sub>
            <m:r>
              <m:rPr>
                <m:sty m:val="p"/>
              </m:rPr>
              <m:t>e</m:t>
            </m:r>
            <m:r>
              <m:rPr>
                <m:sty m:val="p"/>
              </m:rPr>
              <m:t>m</m:t>
            </m:r>
            <m:r>
              <m:rPr>
                <m:sty m:val="p"/>
              </m:rPr>
              <m:t>o</m:t>
            </m:r>
            <m:r>
              <m:rPr>
                <m:sty m:val="p"/>
              </m:rPr>
              <m:t>t</m:t>
            </m:r>
          </m:sub>
        </m:sSub>
      </m:oMath>
      <w:r>
        <w:t xml:space="preserve"> </w:t>
      </w:r>
      <w:r>
        <w:t xml:space="preserve">at 1, so the multiplier made no adjustment.</w:t>
      </w:r>
      <w:r>
        <w:t xml:space="preserve"> </w:t>
      </w:r>
      <w:r>
        <w:t xml:space="preserve">Models with preferential emotional learning estimated</w:t>
      </w:r>
      <w:r>
        <w:t xml:space="preserve"> </w:t>
      </w:r>
      <m:oMath>
        <m:sSub>
          <m:e>
            <m:r>
              <m:t>ϕ</m:t>
            </m:r>
          </m:e>
          <m:sub>
            <m:r>
              <m:rPr>
                <m:sty m:val="p"/>
              </m:rPr>
              <m:t>e</m:t>
            </m:r>
            <m:r>
              <m:rPr>
                <m:sty m:val="p"/>
              </m:rPr>
              <m:t>m</m:t>
            </m:r>
            <m:r>
              <m:rPr>
                <m:sty m:val="p"/>
              </m:rPr>
              <m:t>o</m:t>
            </m:r>
            <m:r>
              <m:rPr>
                <m:sty m:val="p"/>
              </m:rPr>
              <m:t>t</m:t>
            </m:r>
          </m:sub>
        </m:sSub>
      </m:oMath>
      <w:r>
        <w:t xml:space="preserve"> </w:t>
      </w:r>
      <w:r>
        <w:t xml:space="preserve">within the range</w:t>
      </w:r>
      <w:r>
        <w:t xml:space="preserve"> </w:t>
      </w:r>
      <m:oMath>
        <m:r>
          <m:rPr>
            <m:sty m:val="p"/>
          </m:rPr>
          <m:t>(</m:t>
        </m:r>
        <m:r>
          <m:t>0</m:t>
        </m:r>
        <m:r>
          <m:rPr>
            <m:sty m:val="p"/>
          </m:rPr>
          <m:t>,</m:t>
        </m:r>
        <m:r>
          <m:t>10</m:t>
        </m:r>
        <m:r>
          <m:rPr>
            <m:sty m:val="p"/>
          </m:rPr>
          <m:t>]</m:t>
        </m:r>
      </m:oMath>
      <w:r>
        <w:t xml:space="preserve">.</w:t>
      </w:r>
      <w:r>
        <w:t xml:space="preserve"> </w:t>
      </w:r>
      <w:r>
        <w:t xml:space="preserve">Values above 1 strengthened source learning for emotional items relative to neutral items, whereas values below 1 weakened it.</w:t>
      </w:r>
      <w:r>
        <w:t xml:space="preserve"> </w:t>
      </w:r>
      <w:r>
        <w:t xml:space="preserve">The upper bound was a broad numerical constraint rather than a theoretical ceiling: it permitted as much as a tenfold increase, while the estimates in the models reported here ranged from 1.86 to 2.66.</w:t>
      </w:r>
      <w:r>
        <w:t xml:space="preserve"> </w:t>
      </w:r>
      <w:r>
        <w:t xml:space="preserve">Because the multiplier applied the same adjustment to every emotional item, it could not represent variation in learning rate among them.</w:t>
      </w:r>
    </w:p>
    <w:p>
      <w:pPr>
        <w:pStyle w:val="BodyText"/>
      </w:pPr>
      <w:r>
        <w:t xml:space="preserve">To test whether Early LPP could explain learning rate variations among encoded items, we used the standardized Early LPP elicited by each study item to scale the same source learning term.</w:t>
      </w:r>
      <w:r>
        <w:t xml:space="preserve"> </w:t>
      </w:r>
      <w:r>
        <w:t xml:space="preserve">We denote the standardized Early LPP for item</w:t>
      </w:r>
      <w:r>
        <w:t xml:space="preserve"> </w:t>
      </w:r>
      <m:oMath>
        <m:r>
          <m:t>i</m:t>
        </m:r>
      </m:oMath>
      <w:r>
        <w:t xml:space="preserve"> </w:t>
      </w:r>
      <w:r>
        <w:t xml:space="preserve">in list</w:t>
      </w:r>
      <w:r>
        <w:t xml:space="preserve"> </w:t>
      </w:r>
      <m:oMath>
        <m:r>
          <m:t>j</m:t>
        </m:r>
      </m:oMath>
      <w:r>
        <w:t xml:space="preserve"> </w:t>
      </w:r>
      <w:r>
        <w:t xml:space="preserve">by</w:t>
      </w:r>
      <w:r>
        <w:t xml:space="preserve"> </w:t>
      </w:r>
      <m:oMath>
        <m:sSub>
          <m:e>
            <m:r>
              <m:t>z</m:t>
            </m:r>
          </m:e>
          <m:sub>
            <m:r>
              <m:t>i</m:t>
            </m:r>
            <m:r>
              <m:t>j</m:t>
            </m:r>
          </m:sub>
        </m:sSub>
      </m:oMath>
      <w:r>
        <w:t xml:space="preserve"> </w:t>
      </w:r>
      <w:r>
        <w:t xml:space="preserve">and coded item category as</w:t>
      </w:r>
      <w:r>
        <w:t xml:space="preserve"> </w:t>
      </w:r>
      <m:oMath>
        <m:sSub>
          <m:e>
            <m:r>
              <m:t>e</m:t>
            </m:r>
          </m:e>
          <m:sub>
            <m:r>
              <m:t>i</m:t>
            </m:r>
          </m:sub>
        </m:sSub>
        <m:r>
          <m:rPr>
            <m:sty m:val="p"/>
          </m:rPr>
          <m:t>=</m:t>
        </m:r>
        <m:r>
          <m:t>1</m:t>
        </m:r>
      </m:oMath>
      <w:r>
        <w:t xml:space="preserve"> </w:t>
      </w:r>
      <w:r>
        <w:t xml:space="preserve">for emotional items and</w:t>
      </w:r>
      <w:r>
        <w:t xml:space="preserve"> </w:t>
      </w:r>
      <m:oMath>
        <m:sSub>
          <m:e>
            <m:r>
              <m:t>e</m:t>
            </m:r>
          </m:e>
          <m:sub>
            <m:r>
              <m:t>i</m:t>
            </m:r>
          </m:sub>
        </m:sSub>
        <m:r>
          <m:rPr>
            <m:sty m:val="p"/>
          </m:rPr>
          <m:t>=</m:t>
        </m:r>
        <m:r>
          <m:t>0</m:t>
        </m:r>
      </m:oMath>
      <w:r>
        <w:t xml:space="preserve"> </w:t>
      </w:r>
      <w:r>
        <w:t xml:space="preserve">for neutral items.</w:t>
      </w:r>
      <w:r>
        <w:t xml:space="preserve"> </w:t>
      </w:r>
      <w:r>
        <w:t xml:space="preserve">Source learning strength therefore combined the ordinary source-learning baseline, the emotional-learning multiplier, and the Early LPP term:</w:t>
      </w:r>
    </w:p>
    <w:p>
      <w:pPr>
        <w:pStyle w:val="BodyText"/>
      </w:pPr>
      <w:bookmarkStart w:id="39" w:name="eq-source-learning-strength"/>
      <m:oMathPara>
        <m:oMathParaPr>
          <m:jc m:val="center"/>
        </m:oMathParaPr>
        <m:oMath>
          <m:sSubSup>
            <m:e>
              <m:r>
                <m:t>S</m:t>
              </m:r>
            </m:e>
            <m:sub>
              <m:r>
                <m:t>i</m:t>
              </m:r>
              <m:r>
                <m:t>j</m:t>
              </m:r>
            </m:sub>
            <m:sup>
              <m:r>
                <m:t>S</m:t>
              </m:r>
            </m:sup>
          </m:sSubSup>
          <m:r>
            <m:rPr>
              <m:sty m:val="p"/>
            </m:rPr>
            <m:t>=</m:t>
          </m:r>
          <m:r>
            <m:t>ω</m:t>
          </m:r>
          <m:sSub>
            <m:e>
              <m:r>
                <m:t>ϕ</m:t>
              </m:r>
            </m:e>
            <m:sub>
              <m:r>
                <m:t>i</m:t>
              </m:r>
            </m:sub>
          </m:sSub>
          <m:r>
            <m:rPr>
              <m:sty m:val="p"/>
            </m:rPr>
            <m:t>×</m:t>
          </m:r>
          <m:sSubSup>
            <m:e>
              <m:r>
                <m:t>ϕ</m:t>
              </m:r>
            </m:e>
            <m:sub>
              <m:r>
                <m:rPr>
                  <m:sty m:val="p"/>
                </m:rPr>
                <m:t>e</m:t>
              </m:r>
              <m:r>
                <m:rPr>
                  <m:sty m:val="p"/>
                </m:rPr>
                <m:t>m</m:t>
              </m:r>
              <m:r>
                <m:rPr>
                  <m:sty m:val="p"/>
                </m:rPr>
                <m:t>o</m:t>
              </m:r>
              <m:r>
                <m:rPr>
                  <m:sty m:val="p"/>
                </m:rPr>
                <m:t>t</m:t>
              </m:r>
            </m:sub>
            <m:sup>
              <m:sSub>
                <m:e>
                  <m:r>
                    <m:t>e</m:t>
                  </m:r>
                </m:e>
                <m:sub>
                  <m:r>
                    <m:t>i</m:t>
                  </m:r>
                </m:sub>
              </m:sSub>
            </m:sup>
          </m:sSubSup>
          <m:r>
            <m:rPr>
              <m:sty m:val="p"/>
            </m:rPr>
            <m:t>×</m:t>
          </m:r>
          <m:r>
            <m:rPr>
              <m:sty m:val="p"/>
            </m:rPr>
            <m:t>exp</m:t>
          </m:r>
          <m:r>
            <m:t>​</m:t>
          </m:r>
          <m:d>
            <m:dPr>
              <m:begChr m:val="["/>
              <m:sepChr m:val=""/>
              <m:endChr m:val="]"/>
              <m:grow/>
            </m:dPr>
            <m:e>
              <m:r>
                <m:t>κ</m:t>
              </m:r>
              <m:sSub>
                <m:e>
                  <m:r>
                    <m:t>z</m:t>
                  </m:r>
                </m:e>
                <m:sub>
                  <m:r>
                    <m:t>i</m:t>
                  </m:r>
                  <m:r>
                    <m:t>j</m:t>
                  </m:r>
                </m:sub>
              </m:sSub>
              <m:r>
                <m:rPr>
                  <m:sty m:val="p"/>
                </m:rPr>
                <m:t>+</m:t>
              </m:r>
              <m:sSub>
                <m:e>
                  <m:r>
                    <m:t>κ</m:t>
                  </m:r>
                </m:e>
                <m:sub>
                  <m:r>
                    <m:rPr>
                      <m:sty m:val="p"/>
                    </m:rPr>
                    <m:t>e</m:t>
                  </m:r>
                  <m:r>
                    <m:rPr>
                      <m:sty m:val="p"/>
                    </m:rPr>
                    <m:t>m</m:t>
                  </m:r>
                  <m:r>
                    <m:rPr>
                      <m:sty m:val="p"/>
                    </m:rPr>
                    <m:t>o</m:t>
                  </m:r>
                  <m:r>
                    <m:rPr>
                      <m:sty m:val="p"/>
                    </m:rPr>
                    <m:t>t</m:t>
                  </m:r>
                </m:sub>
              </m:sSub>
              <m:sSub>
                <m:e>
                  <m:r>
                    <m:t>e</m:t>
                  </m:r>
                </m:e>
                <m:sub>
                  <m:r>
                    <m:t>i</m:t>
                  </m:r>
                </m:sub>
              </m:sSub>
              <m:sSub>
                <m:e>
                  <m:r>
                    <m:t>z</m:t>
                  </m:r>
                </m:e>
                <m:sub>
                  <m:r>
                    <m:t>i</m:t>
                  </m:r>
                  <m:r>
                    <m:t>j</m:t>
                  </m:r>
                </m:sub>
              </m:sSub>
            </m:e>
          </m:d>
          <m:r>
            <m:rPr>
              <m:sty m:val="p"/>
            </m:rPr>
            <m:t>.</m:t>
          </m:r>
          <m:r>
            <m:t>  </m:t>
          </m:r>
          <m:d>
            <m:dPr>
              <m:begChr m:val="("/>
              <m:sepChr m:val=""/>
              <m:endChr m:val=")"/>
              <m:grow/>
            </m:dPr>
            <m:e>
              <m:r>
                <m:t>9</m:t>
              </m:r>
            </m:e>
          </m:d>
        </m:oMath>
      </m:oMathPara>
      <w:bookmarkEnd w:id="39"/>
    </w:p>
    <w:p>
      <w:pPr>
        <w:pStyle w:val="FirstParagraph"/>
      </w:pPr>
      <w:r>
        <w:t xml:space="preserve">Within the Early LPP term,</w:t>
      </w:r>
      <w:r>
        <w:t xml:space="preserve"> </w:t>
      </w:r>
      <m:oMath>
        <m:r>
          <m:t>κ</m:t>
        </m:r>
      </m:oMath>
      <w:r>
        <w:t xml:space="preserve"> </w:t>
      </w:r>
      <w:r>
        <w:t xml:space="preserve">described how Early LPP changed source learning for both emotional and neutral items.</w:t>
      </w:r>
      <w:r>
        <w:t xml:space="preserve"> </w:t>
      </w:r>
      <w:r>
        <w:t xml:space="preserve">For emotional items,</w:t>
      </w:r>
      <w:r>
        <w:t xml:space="preserve"> </w:t>
      </w:r>
      <m:oMath>
        <m:sSub>
          <m:e>
            <m:r>
              <m:t>κ</m:t>
            </m:r>
          </m:e>
          <m:sub>
            <m:r>
              <m:rPr>
                <m:sty m:val="p"/>
              </m:rPr>
              <m:t>e</m:t>
            </m:r>
            <m:r>
              <m:rPr>
                <m:sty m:val="p"/>
              </m:rPr>
              <m:t>m</m:t>
            </m:r>
            <m:r>
              <m:rPr>
                <m:sty m:val="p"/>
              </m:rPr>
              <m:t>o</m:t>
            </m:r>
            <m:r>
              <m:rPr>
                <m:sty m:val="p"/>
              </m:rPr>
              <m:t>t</m:t>
            </m:r>
          </m:sub>
        </m:sSub>
      </m:oMath>
      <w:r>
        <w:t xml:space="preserve"> </w:t>
      </w:r>
      <w:r>
        <w:t xml:space="preserve">was added to</w:t>
      </w:r>
      <w:r>
        <w:t xml:space="preserve"> </w:t>
      </w:r>
      <m:oMath>
        <m:r>
          <m:t>κ</m:t>
        </m:r>
      </m:oMath>
      <w:r>
        <w:t xml:space="preserve">.</w:t>
      </w:r>
      <w:r>
        <w:t xml:space="preserve"> </w:t>
      </w:r>
      <w:r>
        <w:t xml:space="preserve">Neutral items therefore received the multiplier</w:t>
      </w:r>
      <w:r>
        <w:t xml:space="preserve"> </w:t>
      </w:r>
      <m:oMath>
        <m:r>
          <m:rPr>
            <m:sty m:val="p"/>
          </m:rPr>
          <m:t>exp</m:t>
        </m:r>
        <m:d>
          <m:dPr>
            <m:begChr m:val="("/>
            <m:sepChr m:val=""/>
            <m:endChr m:val=")"/>
            <m:grow/>
          </m:dPr>
          <m:e>
            <m:r>
              <m:t>κ</m:t>
            </m:r>
            <m:sSub>
              <m:e>
                <m:r>
                  <m:t>z</m:t>
                </m:r>
              </m:e>
              <m:sub>
                <m:r>
                  <m:t>i</m:t>
                </m:r>
                <m:r>
                  <m:t>j</m:t>
                </m:r>
              </m:sub>
            </m:sSub>
          </m:e>
        </m:d>
      </m:oMath>
      <w:r>
        <w:t xml:space="preserve">, whereas emotional items received</w:t>
      </w:r>
      <w:r>
        <w:t xml:space="preserve"> </w:t>
      </w:r>
      <m:oMath>
        <m:r>
          <m:rPr>
            <m:sty m:val="p"/>
          </m:rPr>
          <m:t>exp</m:t>
        </m:r>
        <m:d>
          <m:dPr>
            <m:begChr m:val="["/>
            <m:sepChr m:val=""/>
            <m:endChr m:val="]"/>
            <m:grow/>
          </m:dPr>
          <m:e>
            <m:r>
              <m:t>κ</m:t>
            </m:r>
            <m:sSub>
              <m:e>
                <m:r>
                  <m:t>z</m:t>
                </m:r>
              </m:e>
              <m:sub>
                <m:r>
                  <m:t>i</m:t>
                </m:r>
                <m:r>
                  <m:t>j</m:t>
                </m:r>
              </m:sub>
            </m:sSub>
            <m:r>
              <m:rPr>
                <m:sty m:val="p"/>
              </m:rPr>
              <m:t>+</m:t>
            </m:r>
            <m:sSub>
              <m:e>
                <m:r>
                  <m:t>κ</m:t>
                </m:r>
              </m:e>
              <m:sub>
                <m:r>
                  <m:rPr>
                    <m:sty m:val="p"/>
                  </m:rPr>
                  <m:t>e</m:t>
                </m:r>
                <m:r>
                  <m:rPr>
                    <m:sty m:val="p"/>
                  </m:rPr>
                  <m:t>m</m:t>
                </m:r>
                <m:r>
                  <m:rPr>
                    <m:sty m:val="p"/>
                  </m:rPr>
                  <m:t>o</m:t>
                </m:r>
                <m:r>
                  <m:rPr>
                    <m:sty m:val="p"/>
                  </m:rPr>
                  <m:t>t</m:t>
                </m:r>
              </m:sub>
            </m:sSub>
            <m:sSub>
              <m:e>
                <m:r>
                  <m:t>e</m:t>
                </m:r>
              </m:e>
              <m:sub>
                <m:r>
                  <m:t>i</m:t>
                </m:r>
              </m:sub>
            </m:sSub>
            <m:sSub>
              <m:e>
                <m:r>
                  <m:t>z</m:t>
                </m:r>
              </m:e>
              <m:sub>
                <m:r>
                  <m:t>i</m:t>
                </m:r>
                <m:r>
                  <m:t>j</m:t>
                </m:r>
              </m:sub>
            </m:sSub>
          </m:e>
        </m:d>
      </m:oMath>
      <w:r>
        <w:t xml:space="preserve">.</w:t>
      </w:r>
      <w:r>
        <w:t xml:space="preserve"> </w:t>
      </w:r>
      <w:r>
        <w:t xml:space="preserve">The exponential form kept the learning rate positive and expressed the LPP effect as a proportional change.</w:t>
      </w:r>
      <w:r>
        <w:t xml:space="preserve"> </w:t>
      </w:r>
      <w:r>
        <w:t xml:space="preserve">When</w:t>
      </w:r>
      <w:r>
        <w:t xml:space="preserve"> </w:t>
      </w:r>
      <m:oMath>
        <m:sSub>
          <m:e>
            <m:r>
              <m:t>z</m:t>
            </m:r>
          </m:e>
          <m:sub>
            <m:r>
              <m:t>i</m:t>
            </m:r>
            <m:r>
              <m:t>j</m:t>
            </m:r>
          </m:sub>
        </m:sSub>
        <m:r>
          <m:rPr>
            <m:sty m:val="p"/>
          </m:rPr>
          <m:t>=</m:t>
        </m:r>
        <m:r>
          <m:t>0</m:t>
        </m:r>
      </m:oMath>
      <w:r>
        <w:t xml:space="preserve">, the Early LPP term equaled 1 and did not alter learning rates.</w:t>
      </w:r>
    </w:p>
    <w:p>
      <w:pPr>
        <w:pStyle w:val="BodyText"/>
      </w:pPr>
      <w:r>
        <w:t xml:space="preserve">We evaluated four LPP specifications.</w:t>
      </w:r>
      <w:r>
        <w:t xml:space="preserve"> </w:t>
      </w:r>
      <w:r>
        <w:t xml:space="preserve">“No LPP”</w:t>
      </w:r>
      <w:r>
        <w:t xml:space="preserve"> </w:t>
      </w:r>
      <w:r>
        <w:t xml:space="preserve">fixed both</w:t>
      </w:r>
      <w:r>
        <w:t xml:space="preserve"> </w:t>
      </w:r>
      <m:oMath>
        <m:r>
          <m:t>κ</m:t>
        </m:r>
      </m:oMath>
      <w:r>
        <w:t xml:space="preserve"> </w:t>
      </w:r>
      <w:r>
        <w:t xml:space="preserve">and</w:t>
      </w:r>
      <w:r>
        <w:t xml:space="preserve"> </w:t>
      </w:r>
      <m:oMath>
        <m:sSub>
          <m:e>
            <m:r>
              <m:t>κ</m:t>
            </m:r>
          </m:e>
          <m:sub>
            <m:r>
              <m:rPr>
                <m:sty m:val="p"/>
              </m:rPr>
              <m:t>e</m:t>
            </m:r>
            <m:r>
              <m:rPr>
                <m:sty m:val="p"/>
              </m:rPr>
              <m:t>m</m:t>
            </m:r>
            <m:r>
              <m:rPr>
                <m:sty m:val="p"/>
              </m:rPr>
              <m:t>o</m:t>
            </m:r>
            <m:r>
              <m:rPr>
                <m:sty m:val="p"/>
              </m:rPr>
              <m:t>t</m:t>
            </m:r>
          </m:sub>
        </m:sSub>
      </m:oMath>
      <w:r>
        <w:t xml:space="preserve"> </w:t>
      </w:r>
      <w:r>
        <w:t xml:space="preserve">at zero.</w:t>
      </w:r>
      <w:r>
        <w:t xml:space="preserve"> </w:t>
      </w:r>
      <w:r>
        <w:t xml:space="preserve">“General LPP”</w:t>
      </w:r>
      <w:r>
        <w:t xml:space="preserve"> </w:t>
      </w:r>
      <w:r>
        <w:t xml:space="preserve">estimated</w:t>
      </w:r>
      <w:r>
        <w:t xml:space="preserve"> </w:t>
      </w:r>
      <m:oMath>
        <m:r>
          <m:t>κ</m:t>
        </m:r>
      </m:oMath>
      <w:r>
        <w:t xml:space="preserve"> </w:t>
      </w:r>
      <w:r>
        <w:t xml:space="preserve">alone, allowing Early LPP to modify source learning in both emotional and neutral items through one shared coefficient.</w:t>
      </w:r>
      <w:r>
        <w:t xml:space="preserve"> </w:t>
      </w:r>
      <w:r>
        <w:t xml:space="preserve">“Emotion-dependent LPP”</w:t>
      </w:r>
      <w:r>
        <w:t xml:space="preserve"> </w:t>
      </w:r>
      <w:r>
        <w:t xml:space="preserve">estimated</w:t>
      </w:r>
      <w:r>
        <w:t xml:space="preserve"> </w:t>
      </w:r>
      <m:oMath>
        <m:sSub>
          <m:e>
            <m:r>
              <m:t>κ</m:t>
            </m:r>
          </m:e>
          <m:sub>
            <m:r>
              <m:rPr>
                <m:sty m:val="p"/>
              </m:rPr>
              <m:t>e</m:t>
            </m:r>
            <m:r>
              <m:rPr>
                <m:sty m:val="p"/>
              </m:rPr>
              <m:t>m</m:t>
            </m:r>
            <m:r>
              <m:rPr>
                <m:sty m:val="p"/>
              </m:rPr>
              <m:t>o</m:t>
            </m:r>
            <m:r>
              <m:rPr>
                <m:sty m:val="p"/>
              </m:rPr>
              <m:t>t</m:t>
            </m:r>
          </m:sub>
        </m:sSub>
      </m:oMath>
      <w:r>
        <w:t xml:space="preserve"> </w:t>
      </w:r>
      <w:r>
        <w:t xml:space="preserve">alone, allowing Early LPP to modify source learning only for emotional items.</w:t>
      </w:r>
      <w:r>
        <w:t xml:space="preserve"> </w:t>
      </w:r>
      <w:r>
        <w:t xml:space="preserve">These two specifications each added one parameter and were equally complex.</w:t>
      </w:r>
      <w:r>
        <w:t xml:space="preserve"> </w:t>
      </w:r>
      <w:r>
        <w:t xml:space="preserve">“Combined LPP”</w:t>
      </w:r>
      <w:r>
        <w:t xml:space="preserve"> </w:t>
      </w:r>
      <w:r>
        <w:t xml:space="preserve">estimated both coefficients, combining an Early LPP coefficient shared by both categories with an additional coefficient for emotional items.</w:t>
      </w:r>
      <w:r>
        <w:t xml:space="preserve"> </w:t>
      </w:r>
      <w:r>
        <w:t xml:space="preserve">The Combined LPP specification most closely mirrored the empirical regression, which included both a general Early LPP coefficient and an interaction between emotion and Early LPP.</w:t>
      </w:r>
    </w:p>
    <w:bookmarkEnd w:id="40"/>
    <w:bookmarkStart w:id="41" w:name="model-comparison"/>
    <w:p>
      <w:pPr>
        <w:pStyle w:val="Heading3"/>
      </w:pPr>
      <w:r>
        <w:t xml:space="preserve">Model comparison</w:t>
      </w:r>
    </w:p>
    <w:p>
      <w:pPr>
        <w:pStyle w:val="FirstParagraph"/>
      </w:pPr>
      <w:r>
        <w:t xml:space="preserve">To compare the proposed learning mechanisms, we combined two settings of the emotional multiplier with the four Early LPP specifications described above.</w:t>
      </w:r>
      <w:r>
        <w:t xml:space="preserve"> </w:t>
      </w:r>
      <w:r>
        <w:t xml:space="preserve">In one setting,</w:t>
      </w:r>
      <w:r>
        <w:t xml:space="preserve"> </w:t>
      </w:r>
      <m:oMath>
        <m:sSub>
          <m:e>
            <m:r>
              <m:t>ϕ</m:t>
            </m:r>
          </m:e>
          <m:sub>
            <m:r>
              <m:rPr>
                <m:sty m:val="p"/>
              </m:rPr>
              <m:t>e</m:t>
            </m:r>
            <m:r>
              <m:rPr>
                <m:sty m:val="p"/>
              </m:rPr>
              <m:t>m</m:t>
            </m:r>
            <m:r>
              <m:rPr>
                <m:sty m:val="p"/>
              </m:rPr>
              <m:t>o</m:t>
            </m:r>
            <m:r>
              <m:rPr>
                <m:sty m:val="p"/>
              </m:rPr>
              <m:t>t</m:t>
            </m:r>
          </m:sub>
        </m:sSub>
      </m:oMath>
      <w:r>
        <w:t xml:space="preserve"> </w:t>
      </w:r>
      <w:r>
        <w:t xml:space="preserve">was fixed at 1, so there was no common adjustment to source learning for emotional items.</w:t>
      </w:r>
      <w:r>
        <w:t xml:space="preserve"> </w:t>
      </w:r>
      <w:r>
        <w:t xml:space="preserve">Source learning could nevertheless vary between items through Early LPP where the specification allowed it.</w:t>
      </w:r>
      <w:r>
        <w:t xml:space="preserve"> </w:t>
      </w:r>
      <w:r>
        <w:t xml:space="preserve">In the second setting,</w:t>
      </w:r>
      <w:r>
        <w:t xml:space="preserve"> </w:t>
      </w:r>
      <m:oMath>
        <m:sSub>
          <m:e>
            <m:r>
              <m:t>ϕ</m:t>
            </m:r>
          </m:e>
          <m:sub>
            <m:r>
              <m:rPr>
                <m:sty m:val="p"/>
              </m:rPr>
              <m:t>e</m:t>
            </m:r>
            <m:r>
              <m:rPr>
                <m:sty m:val="p"/>
              </m:rPr>
              <m:t>m</m:t>
            </m:r>
            <m:r>
              <m:rPr>
                <m:sty m:val="p"/>
              </m:rPr>
              <m:t>o</m:t>
            </m:r>
            <m:r>
              <m:rPr>
                <m:sty m:val="p"/>
              </m:rPr>
              <m:t>t</m:t>
            </m:r>
          </m:sub>
        </m:sSub>
      </m:oMath>
      <w:r>
        <w:t xml:space="preserve"> </w:t>
      </w:r>
      <w:r>
        <w:t xml:space="preserve">was estimated, allowing every emotional item to receive the same adjustment in addition to any modulation by Early LPP.</w:t>
      </w:r>
      <w:r>
        <w:t xml:space="preserve"> </w:t>
      </w:r>
      <w:r>
        <w:t xml:space="preserve">Crossing these two settings with the four Early LPP specifications produced the eight models in</w:t>
      </w:r>
      <w:r>
        <w:t xml:space="preserve"> </w:t>
      </w:r>
      <w:hyperlink w:anchor="tbl-primary-ecmr-comparison">
        <w:r>
          <w:rPr>
            <w:rStyle w:val="Hyperlink"/>
          </w:rPr>
          <w:t xml:space="preserve">Table 1</w:t>
        </w:r>
      </w:hyperlink>
      <w:r>
        <w:t xml:space="preserve">.</w:t>
      </w:r>
    </w:p>
    <w:p>
      <w:pPr>
        <w:pStyle w:val="BodyText"/>
      </w:pPr>
      <w:hyperlink w:anchor="tbl-primary-ecmr-comparison">
        <w:r>
          <w:rPr>
            <w:rStyle w:val="Hyperlink"/>
          </w:rPr>
          <w:t xml:space="preserve">Table 1</w:t>
        </w:r>
      </w:hyperlink>
      <w:r>
        <w:t xml:space="preserve"> </w:t>
      </w:r>
      <w:r>
        <w:t xml:space="preserve">can be read in two directions.</w:t>
      </w:r>
      <w:r>
        <w:t xml:space="preserve"> </w:t>
      </w:r>
      <w:r>
        <w:t xml:space="preserve">Within each row, only the emotional learning multiplier changes; this comparison tests preferential emotional learning while keeping the LPP specification constant.</w:t>
      </w:r>
      <w:r>
        <w:t xml:space="preserve"> </w:t>
      </w:r>
      <w:r>
        <w:t xml:space="preserve">Within each column, the treatment of the emotional learning multiplier remains constant while the LPP specification changes.</w:t>
      </w:r>
      <w:r>
        <w:t xml:space="preserve"> </w:t>
      </w:r>
      <w:r>
        <w:t xml:space="preserve">The No LPP model provides the baseline for testing whether Early LPP improves prediction.</w:t>
      </w:r>
      <w:r>
        <w:t xml:space="preserve"> </w:t>
      </w:r>
      <w:r>
        <w:t xml:space="preserve">Comparing General LPP with Combined LPP tests whether emotional items have an additional LPP effect beyond the relationship shared by both categories.</w:t>
      </w:r>
      <w:r>
        <w:t xml:space="preserve"> </w:t>
      </w:r>
      <w:r>
        <w:t xml:space="preserve">Comparing Emotion-dependent LPP with Combined LPP tests whether the shared relationship is also needed.</w:t>
      </w:r>
      <w:r>
        <w:t xml:space="preserve"> </w:t>
      </w:r>
      <w:r>
        <w:t xml:space="preserve">General LPP and Emotion-dependent LPP each add one parameter and are therefore equally complex.</w:t>
      </w:r>
    </w:p>
    <w:p>
      <w:pPr>
        <w:pStyle w:val="BodyText"/>
      </w:pPr>
      <w:hyperlink w:anchor="tbl-model-parameter-spec">
        <w:r>
          <w:rPr>
            <w:rStyle w:val="Hyperlink"/>
          </w:rPr>
          <w:t xml:space="preserve">Table 2</w:t>
        </w:r>
      </w:hyperlink>
      <w:r>
        <w:t xml:space="preserve"> </w:t>
      </w:r>
      <w:r>
        <w:t xml:space="preserve">summarizes the parameters and the constraints used to define the eight models.</w:t>
      </w:r>
      <w:r>
        <w:t xml:space="preserve"> </w:t>
      </w:r>
      <w:r>
        <w:t xml:space="preserve">Eleven parameters were estimated in every model; source context reinstatement during recall was fixed at 1.</w:t>
      </w:r>
      <w:r>
        <w:t xml:space="preserve"> </w:t>
      </w:r>
      <w:r>
        <w:t xml:space="preserve">Depending on the model, the emotional learning multiplier and the two Early LPP coefficients were either fixed at their neutral values or estimated.</w:t>
      </w:r>
      <w:r>
        <w:t xml:space="preserve"> </w:t>
      </w:r>
      <w:r>
        <w:t xml:space="preserve">The models therefore contained between 11 and 14 free parameters.</w:t>
      </w:r>
    </w:p>
    <w:p>
      <w:pPr>
        <w:pStyle w:val="BodyText"/>
      </w:pPr>
      <w:r>
        <w:t xml:space="preserve">The Early LPP coefficients</w:t>
      </w:r>
      <w:r>
        <w:t xml:space="preserve"> </w:t>
      </w:r>
      <m:oMath>
        <m:r>
          <m:t>κ</m:t>
        </m:r>
      </m:oMath>
      <w:r>
        <w:t xml:space="preserve"> </w:t>
      </w:r>
      <w:r>
        <w:t xml:space="preserve">and</w:t>
      </w:r>
      <w:r>
        <w:t xml:space="preserve"> </w:t>
      </w:r>
      <m:oMath>
        <m:sSub>
          <m:e>
            <m:r>
              <m:t>κ</m:t>
            </m:r>
          </m:e>
          <m:sub>
            <m:r>
              <m:rPr>
                <m:sty m:val="p"/>
              </m:rPr>
              <m:t>e</m:t>
            </m:r>
            <m:r>
              <m:rPr>
                <m:sty m:val="p"/>
              </m:rPr>
              <m:t>m</m:t>
            </m:r>
            <m:r>
              <m:rPr>
                <m:sty m:val="p"/>
              </m:rPr>
              <m:t>o</m:t>
            </m:r>
            <m:r>
              <m:rPr>
                <m:sty m:val="p"/>
              </m:rPr>
              <m:t>t</m:t>
            </m:r>
          </m:sub>
        </m:sSub>
      </m:oMath>
      <w:r>
        <w:t xml:space="preserve"> </w:t>
      </w:r>
      <w:r>
        <w:t xml:space="preserve">were constrained to</w:t>
      </w:r>
      <w:r>
        <w:t xml:space="preserve"> </w:t>
      </w:r>
      <m:oMath>
        <m:d>
          <m:dPr>
            <m:begChr m:val="["/>
            <m:sepChr m:val=""/>
            <m:endChr m:val="]"/>
            <m:grow/>
          </m:dPr>
          <m:e>
            <m:r>
              <m:t>0</m:t>
            </m:r>
            <m:r>
              <m:rPr>
                <m:sty m:val="p"/>
              </m:rPr>
              <m:t>,</m:t>
            </m:r>
            <m:r>
              <m:t>0.1923</m:t>
            </m:r>
          </m:e>
        </m:d>
      </m:oMath>
      <w:r>
        <w:t xml:space="preserve">.</w:t>
      </w:r>
      <w:r>
        <w:t xml:space="preserve"> </w:t>
      </w:r>
      <w:r>
        <w:t xml:space="preserve">The lower bound expressed the directional prediction that larger Early LPP would not weaken learning.</w:t>
      </w:r>
      <w:r>
        <w:t xml:space="preserve"> </w:t>
      </w:r>
      <w:r>
        <w:t xml:space="preserve">The upper bound was chosen so that, at the largest Early LPP value in the modeling data (11.9711), a single coefficient could increase learning strength by at most a factor of 10:</w:t>
      </w:r>
      <w:r>
        <w:t xml:space="preserve"> </w:t>
      </w:r>
      <m:oMath>
        <m:r>
          <m:rPr>
            <m:sty m:val="p"/>
          </m:rPr>
          <m:t>exp</m:t>
        </m:r>
        <m:d>
          <m:dPr>
            <m:begChr m:val="("/>
            <m:sepChr m:val=""/>
            <m:endChr m:val=")"/>
            <m:grow/>
          </m:dPr>
          <m:e>
            <m:r>
              <m:t>0.1923</m:t>
            </m:r>
            <m:r>
              <m:rPr>
                <m:sty m:val="p"/>
              </m:rPr>
              <m:t>×</m:t>
            </m:r>
            <m:r>
              <m:t>11.9711</m:t>
            </m:r>
          </m:e>
        </m:d>
        <m:r>
          <m:rPr>
            <m:sty m:val="p"/>
          </m:rPr>
          <m:t>=</m:t>
        </m:r>
        <m:r>
          <m:t>10</m:t>
        </m:r>
      </m:oMath>
      <w:r>
        <w:t xml:space="preserve">.</w:t>
      </w:r>
      <w:r>
        <w:t xml:space="preserve"> </w:t>
      </w:r>
      <w:r>
        <w:t xml:space="preserve">Having defined the alternatives, we next describe the common evidence used to compare them.</w:t>
      </w:r>
    </w:p>
    <w:bookmarkEnd w:id="41"/>
    <w:bookmarkStart w:id="43" w:name="pooled-estimation-and-evaluation"/>
    <w:p>
      <w:pPr>
        <w:pStyle w:val="Heading3"/>
      </w:pPr>
      <w:r>
        <w:t xml:space="preserve">Pooled estimation and evaluation</w:t>
      </w:r>
    </w:p>
    <w:p>
      <w:pPr>
        <w:pStyle w:val="FirstParagraph"/>
      </w:pPr>
      <w:r>
        <w:t xml:space="preserve">The modeling dataset comprised 6,840 studied items from 342 lists contributed by 38 participants, with recall status recorded for every item.</w:t>
      </w:r>
      <w:r>
        <w:t xml:space="preserve"> </w:t>
      </w:r>
      <w:r>
        <w:t xml:space="preserve">Usable Early LPP measurements were available for 6,469 items.</w:t>
      </w:r>
      <w:r>
        <w:t xml:space="preserve"> </w:t>
      </w:r>
      <w:r>
        <w:t xml:space="preserve">For the remaining 371 items (5.4%), we imputed Early LPP without using recall status.</w:t>
      </w:r>
      <w:r>
        <w:t xml:space="preserve"> </w:t>
      </w:r>
      <w:r>
        <w:t xml:space="preserve">Missing values were replaced, in order, by the mean for the same emotional category on that participant’s list, the mean for the complete list, or the corresponding category mean across the dataset.</w:t>
      </w:r>
    </w:p>
    <w:p>
      <w:pPr>
        <w:pStyle w:val="BodyText"/>
      </w:pPr>
      <w:r>
        <w:t xml:space="preserve">Each participant contributed nine lists.</w:t>
      </w:r>
      <w:r>
        <w:t xml:space="preserve"> </w:t>
      </w:r>
      <w:r>
        <w:t xml:space="preserve">We therefore fitted one parameter vector to all 342 lists rather than estimating 11 to 14 parameters separately for each participant.</w:t>
      </w:r>
      <w:r>
        <w:t xml:space="preserve"> </w:t>
      </w:r>
      <w:r>
        <w:t xml:space="preserve">The resulting estimates describe the pooled pattern across participants.</w:t>
      </w:r>
    </w:p>
    <w:p>
      <w:pPr>
        <w:pStyle w:val="BodyText"/>
      </w:pPr>
      <w:r>
        <w:t xml:space="preserve">The records identified each list’s recalled items but not their output order.</w:t>
      </w:r>
      <w:r>
        <w:t xml:space="preserve"> </w:t>
      </w:r>
      <w:r>
        <w:t xml:space="preserve">Let</w:t>
      </w:r>
      <w:r>
        <w:t xml:space="preserve"> </w:t>
      </w:r>
      <m:oMath>
        <m:sSub>
          <m:e>
            <m:r>
              <m:t>n</m:t>
            </m:r>
          </m:e>
          <m:sub>
            <m:r>
              <m:t>j</m:t>
            </m:r>
          </m:sub>
        </m:sSub>
        <m:r>
          <m:rPr>
            <m:sty m:val="p"/>
          </m:rPr>
          <m:t>=</m:t>
        </m:r>
        <m:d>
          <m:dPr>
            <m:begChr m:val="|"/>
            <m:sepChr m:val=""/>
            <m:endChr m:val="|"/>
            <m:grow/>
          </m:dPr>
          <m:e>
            <m:sSub>
              <m:e>
                <m:r>
                  <m:rPr>
                    <m:sty m:val="p"/>
                    <m:scr m:val="script"/>
                  </m:rPr>
                  <m:t>S</m:t>
                </m:r>
              </m:e>
              <m:sub>
                <m:r>
                  <m:t>j</m:t>
                </m:r>
              </m:sub>
            </m:sSub>
          </m:e>
        </m:d>
      </m:oMath>
      <w:r>
        <w:t xml:space="preserve"> </w:t>
      </w:r>
      <w:r>
        <w:t xml:space="preserve">be the number of items in recalled set</w:t>
      </w:r>
      <w:r>
        <w:t xml:space="preserve"> </w:t>
      </w:r>
      <m:oMath>
        <m:sSub>
          <m:e>
            <m:r>
              <m:rPr>
                <m:sty m:val="p"/>
                <m:scr m:val="script"/>
              </m:rPr>
              <m:t>S</m:t>
            </m:r>
          </m:e>
          <m:sub>
            <m:r>
              <m:t>j</m:t>
            </m:r>
          </m:sub>
        </m:sSub>
      </m:oMath>
      <w:r>
        <w:t xml:space="preserve">, let</w:t>
      </w:r>
      <w:r>
        <w:t xml:space="preserve"> </w:t>
      </w:r>
      <m:oMath>
        <m:sSub>
          <m:e>
            <m:r>
              <m:t>π</m:t>
            </m:r>
          </m:e>
          <m:sub>
            <m:r>
              <m:t>j</m:t>
            </m:r>
            <m:r>
              <m:t>k</m:t>
            </m:r>
          </m:sub>
        </m:sSub>
      </m:oMath>
      <w:r>
        <w:t xml:space="preserve"> </w:t>
      </w:r>
      <w:r>
        <w:t xml:space="preserve">be its</w:t>
      </w:r>
      <w:r>
        <w:t xml:space="preserve"> </w:t>
      </w:r>
      <m:oMath>
        <m:r>
          <m:t>k</m:t>
        </m:r>
      </m:oMath>
      <w:r>
        <w:t xml:space="preserve">th sampled order, and let</w:t>
      </w:r>
      <w:r>
        <w:t xml:space="preserve"> </w:t>
      </w:r>
      <m:oMath>
        <m:r>
          <m:rPr>
            <m:sty m:val="b"/>
          </m:rPr>
          <m:t>θ</m:t>
        </m:r>
      </m:oMath>
      <w:r>
        <w:t xml:space="preserve"> </w:t>
      </w:r>
      <w:r>
        <w:t xml:space="preserve">be the model parameters.</w:t>
      </w:r>
      <w:r>
        <w:t xml:space="preserve"> </w:t>
      </w:r>
      <w:r>
        <w:t xml:space="preserve">Because reinstatement makes eCMR sequence-dependent, the probability of a recalled set is the sum of the probabilities of its</w:t>
      </w:r>
      <w:r>
        <w:t xml:space="preserve"> </w:t>
      </w:r>
      <m:oMath>
        <m:sSub>
          <m:e>
            <m:r>
              <m:t>n</m:t>
            </m:r>
          </m:e>
          <m:sub>
            <m:r>
              <m:t>j</m:t>
            </m:r>
          </m:sub>
        </m:sSub>
        <m:r>
          <m:rPr>
            <m:sty m:val="p"/>
          </m:rPr>
          <m:t>!</m:t>
        </m:r>
      </m:oMath>
      <w:r>
        <w:t xml:space="preserve"> </w:t>
      </w:r>
      <w:r>
        <w:t xml:space="preserve">possible orders.</w:t>
      </w:r>
      <w:r>
        <w:t xml:space="preserve"> </w:t>
      </w:r>
      <w:r>
        <w:t xml:space="preserve">We approximated this sum using</w:t>
      </w:r>
      <w:r>
        <w:t xml:space="preserve"> </w:t>
      </w:r>
      <m:oMath>
        <m:r>
          <m:t>K</m:t>
        </m:r>
        <m:r>
          <m:rPr>
            <m:sty m:val="p"/>
          </m:rPr>
          <m:t>=</m:t>
        </m:r>
        <m:r>
          <m:t>50</m:t>
        </m:r>
      </m:oMath>
      <w:r>
        <w:t xml:space="preserve"> </w:t>
      </w:r>
      <w:r>
        <w:t xml:space="preserve">fixed orders sampled uniformly:</w:t>
      </w:r>
    </w:p>
    <w:p>
      <w:pPr>
        <w:pStyle w:val="BodyText"/>
      </w:pPr>
      <w:bookmarkStart w:id="42" w:name="eq-recalled-set-likelihood"/>
      <m:oMathPara>
        <m:oMathParaPr>
          <m:jc m:val="center"/>
        </m:oMathParaPr>
        <m:oMath>
          <m:acc>
            <m:accPr>
              <m:chr m:val="̃"/>
            </m:accPr>
            <m:e>
              <m:r>
                <m:t>P</m:t>
              </m:r>
            </m:e>
          </m:acc>
          <m:d>
            <m:dPr>
              <m:begChr m:val="("/>
              <m:sepChr m:val=""/>
              <m:endChr m:val=")"/>
              <m:grow/>
            </m:dPr>
            <m:e>
              <m:sSub>
                <m:e>
                  <m:r>
                    <m:rPr>
                      <m:sty m:val="p"/>
                      <m:scr m:val="script"/>
                    </m:rPr>
                    <m:t>S</m:t>
                  </m:r>
                </m:e>
                <m:sub>
                  <m:r>
                    <m:t>j</m:t>
                  </m:r>
                </m:sub>
              </m:sSub>
              <m:r>
                <m:rPr>
                  <m:sty m:val="p"/>
                </m:rPr>
                <m:t>∣</m:t>
              </m:r>
              <m:r>
                <m:rPr>
                  <m:sty m:val="b"/>
                </m:rPr>
                <m:t>θ</m:t>
              </m:r>
              <m:r>
                <m:rPr>
                  <m:sty m:val="p"/>
                </m:rPr>
                <m:t>,</m:t>
              </m:r>
              <m:sSub>
                <m:e>
                  <m:r>
                    <m:t>n</m:t>
                  </m:r>
                </m:e>
                <m:sub>
                  <m:r>
                    <m:t>j</m:t>
                  </m:r>
                </m:sub>
              </m:sSub>
            </m:e>
          </m:d>
          <m:r>
            <m:rPr>
              <m:sty m:val="p"/>
            </m:rPr>
            <m:t>=</m:t>
          </m:r>
          <m:f>
            <m:fPr>
              <m:type m:val="bar"/>
            </m:fPr>
            <m:num>
              <m:sSub>
                <m:e>
                  <m:r>
                    <m:t>n</m:t>
                  </m:r>
                </m:e>
                <m:sub>
                  <m:r>
                    <m:t>j</m:t>
                  </m:r>
                </m:sub>
              </m:sSub>
              <m:r>
                <m:rPr>
                  <m:sty m:val="p"/>
                </m:rPr>
                <m:t>!</m:t>
              </m:r>
            </m:num>
            <m:den>
              <m:r>
                <m:t>K</m:t>
              </m:r>
            </m:den>
          </m:f>
          <m:nary>
            <m:naryPr>
              <m:chr m:val="∑"/>
              <m:limLoc m:val="undOvr"/>
              <m:subHide m:val="off"/>
              <m:supHide m:val="off"/>
            </m:naryPr>
            <m:sub>
              <m:r>
                <m:t>k</m:t>
              </m:r>
              <m:r>
                <m:rPr>
                  <m:sty m:val="p"/>
                </m:rPr>
                <m:t>=</m:t>
              </m:r>
              <m:r>
                <m:t>1</m:t>
              </m:r>
            </m:sub>
            <m:sup>
              <m:r>
                <m:t>K</m:t>
              </m:r>
            </m:sup>
            <m:e>
              <m:nary>
                <m:naryPr>
                  <m:chr m:val="∏"/>
                  <m:limLoc m:val="undOvr"/>
                  <m:subHide m:val="off"/>
                  <m:supHide m:val="off"/>
                </m:naryPr>
                <m:sub>
                  <m:r>
                    <m:t>t</m:t>
                  </m:r>
                  <m:r>
                    <m:rPr>
                      <m:sty m:val="p"/>
                    </m:rPr>
                    <m:t>=</m:t>
                  </m:r>
                  <m:r>
                    <m:t>1</m:t>
                  </m:r>
                </m:sub>
                <m:sup>
                  <m:sSub>
                    <m:e>
                      <m:r>
                        <m:t>n</m:t>
                      </m:r>
                    </m:e>
                    <m:sub>
                      <m:r>
                        <m:t>j</m:t>
                      </m:r>
                    </m:sub>
                  </m:sSub>
                </m:sup>
                <m:e>
                  <m:r>
                    <m:t>P</m:t>
                  </m:r>
                </m:e>
              </m:nary>
            </m:e>
          </m:nary>
          <m:r>
            <m:t>​</m:t>
          </m:r>
          <m:d>
            <m:dPr>
              <m:begChr m:val="("/>
              <m:sepChr m:val=""/>
              <m:endChr m:val=")"/>
              <m:grow/>
            </m:dPr>
            <m:e>
              <m:sSub>
                <m:e>
                  <m:r>
                    <m:t>R</m:t>
                  </m:r>
                </m:e>
                <m:sub>
                  <m:r>
                    <m:t>j</m:t>
                  </m:r>
                  <m:r>
                    <m:t>t</m:t>
                  </m:r>
                </m:sub>
              </m:sSub>
              <m:r>
                <m:rPr>
                  <m:sty m:val="p"/>
                </m:rPr>
                <m:t>=</m:t>
              </m:r>
              <m:sSub>
                <m:e>
                  <m:r>
                    <m:t>π</m:t>
                  </m:r>
                </m:e>
                <m:sub>
                  <m:r>
                    <m:t>j</m:t>
                  </m:r>
                  <m:r>
                    <m:t>k</m:t>
                  </m:r>
                  <m:r>
                    <m:rPr>
                      <m:sty m:val="p"/>
                    </m:rPr>
                    <m:t>,</m:t>
                  </m:r>
                  <m:r>
                    <m:t>t</m:t>
                  </m:r>
                </m:sub>
              </m:sSub>
              <m:r>
                <m:rPr>
                  <m:sty m:val="p"/>
                </m:rPr>
                <m:t>∣</m:t>
              </m:r>
              <m:sSub>
                <m:e>
                  <m:r>
                    <m:t>π</m:t>
                  </m:r>
                </m:e>
                <m:sub>
                  <m:r>
                    <m:t>j</m:t>
                  </m:r>
                  <m:r>
                    <m:t>k</m:t>
                  </m:r>
                  <m:r>
                    <m:rPr>
                      <m:sty m:val="p"/>
                    </m:rPr>
                    <m:t>,</m:t>
                  </m:r>
                  <m:r>
                    <m:t>1</m:t>
                  </m:r>
                  <m:r>
                    <m:rPr>
                      <m:sty m:val="p"/>
                    </m:rPr>
                    <m:t>:</m:t>
                  </m:r>
                  <m:d>
                    <m:dPr>
                      <m:begChr m:val="("/>
                      <m:sepChr m:val=""/>
                      <m:endChr m:val=")"/>
                      <m:grow/>
                    </m:dPr>
                    <m:e>
                      <m:r>
                        <m:t>t</m:t>
                      </m:r>
                      <m:r>
                        <m:rPr>
                          <m:sty m:val="p"/>
                        </m:rPr>
                        <m:t>−</m:t>
                      </m:r>
                      <m:r>
                        <m:t>1</m:t>
                      </m:r>
                    </m:e>
                  </m:d>
                </m:sub>
              </m:sSub>
              <m:r>
                <m:rPr>
                  <m:sty m:val="p"/>
                </m:rPr>
                <m:t>,</m:t>
              </m:r>
              <m:r>
                <m:rPr>
                  <m:sty m:val="b"/>
                </m:rPr>
                <m:t>θ</m:t>
              </m:r>
            </m:e>
          </m:d>
          <m:r>
            <m:rPr>
              <m:sty m:val="p"/>
            </m:rPr>
            <m:t>.</m:t>
          </m:r>
          <m:r>
            <m:t>  </m:t>
          </m:r>
          <m:d>
            <m:dPr>
              <m:begChr m:val="("/>
              <m:sepChr m:val=""/>
              <m:endChr m:val=")"/>
              <m:grow/>
            </m:dPr>
            <m:e>
              <m:r>
                <m:t>10</m:t>
              </m:r>
            </m:e>
          </m:d>
        </m:oMath>
      </m:oMathPara>
      <w:bookmarkEnd w:id="42"/>
    </w:p>
    <w:p>
      <w:pPr>
        <w:pStyle w:val="FirstParagraph"/>
      </w:pPr>
      <w:r>
        <w:t xml:space="preserve">Each product is the probability of one possible recall sequence, and multiplying their sampled average by</w:t>
      </w:r>
      <w:r>
        <w:t xml:space="preserve"> </w:t>
      </w:r>
      <m:oMath>
        <m:sSub>
          <m:e>
            <m:r>
              <m:t>n</m:t>
            </m:r>
          </m:e>
          <m:sub>
            <m:r>
              <m:t>j</m:t>
            </m:r>
          </m:sub>
        </m:sSub>
        <m:r>
          <m:rPr>
            <m:sty m:val="p"/>
          </m:rPr>
          <m:t>!</m:t>
        </m:r>
      </m:oMath>
      <w:r>
        <w:t xml:space="preserve"> </w:t>
      </w:r>
      <w:r>
        <w:t xml:space="preserve">estimates the sum over all possible orders.</w:t>
      </w:r>
      <w:r>
        <w:t xml:space="preserve"> </w:t>
      </w:r>
      <w:r>
        <w:t xml:space="preserve">For fitting, we omitted</w:t>
      </w:r>
      <w:r>
        <w:t xml:space="preserve"> </w:t>
      </w:r>
      <m:oMath>
        <m:sSub>
          <m:e>
            <m:r>
              <m:t>n</m:t>
            </m:r>
          </m:e>
          <m:sub>
            <m:r>
              <m:t>j</m:t>
            </m:r>
          </m:sub>
        </m:sSub>
        <m:r>
          <m:rPr>
            <m:sty m:val="p"/>
          </m:rPr>
          <m:t>!</m:t>
        </m:r>
      </m:oMath>
      <w:r>
        <w:t xml:space="preserve"> </w:t>
      </w:r>
      <w:r>
        <w:t xml:space="preserve">because it depends only on the observed set size.</w:t>
      </w:r>
      <w:r>
        <w:t xml:space="preserve"> </w:t>
      </w:r>
      <w:r>
        <w:t xml:space="preserve">This omission increases the NLL for list</w:t>
      </w:r>
      <w:r>
        <w:t xml:space="preserve"> </w:t>
      </w:r>
      <m:oMath>
        <m:r>
          <m:t>j</m:t>
        </m:r>
      </m:oMath>
      <w:r>
        <w:t xml:space="preserve"> </w:t>
      </w:r>
      <w:r>
        <w:t xml:space="preserve">by</w:t>
      </w:r>
      <w:r>
        <w:t xml:space="preserve"> </w:t>
      </w:r>
      <m:oMath>
        <m:r>
          <m:rPr>
            <m:sty m:val="p"/>
          </m:rPr>
          <m:t>log</m:t>
        </m:r>
        <m:d>
          <m:dPr>
            <m:begChr m:val="("/>
            <m:sepChr m:val=""/>
            <m:endChr m:val=")"/>
            <m:grow/>
          </m:dPr>
          <m:e>
            <m:sSub>
              <m:e>
                <m:r>
                  <m:t>n</m:t>
                </m:r>
              </m:e>
              <m:sub>
                <m:r>
                  <m:t>j</m:t>
                </m:r>
              </m:sub>
            </m:sSub>
            <m:r>
              <m:rPr>
                <m:sty m:val="p"/>
              </m:rPr>
              <m:t>!</m:t>
            </m:r>
          </m:e>
        </m:d>
      </m:oMath>
      <w:r>
        <w:t xml:space="preserve">, a parameter-independent constant shared by every model; parameter estimates, NLL differences, AIC differences, and model rankings are therefore unchanged.</w:t>
      </w:r>
      <w:r>
        <w:t xml:space="preserve"> </w:t>
      </w:r>
      <w:r>
        <w:t xml:space="preserve">The reported NLL and AIC values are based on this constant-omitted objective.</w:t>
      </w:r>
      <w:r>
        <w:t xml:space="preserve"> </w:t>
      </w:r>
      <w:r>
        <w:t xml:space="preserve">The sampled orders were generated with seed 0 and held fixed for every model.</w:t>
      </w:r>
      <w:r>
        <w:t xml:space="preserve"> </w:t>
      </w:r>
      <w:r>
        <w:t xml:space="preserve">Because the likelihood also excluded termination, it predicts recalled-item identity conditional on the observed number of recalls rather than explaining how many items were recalled.</w:t>
      </w:r>
    </w:p>
    <w:p>
      <w:pPr>
        <w:pStyle w:val="BodyText"/>
      </w:pPr>
      <w:r>
        <w:t xml:space="preserve">We minimized summed NLL with differential evolution</w:t>
      </w:r>
      <w:r>
        <w:t xml:space="preserve"> </w:t>
      </w:r>
      <w:r>
        <w:t xml:space="preserve">(</w:t>
      </w:r>
      <w:hyperlink w:anchor="ref-storn1997differential">
        <w:r>
          <w:rPr>
            <w:rStyle w:val="Hyperlink"/>
          </w:rPr>
          <w:t xml:space="preserve">Storn &amp; Price, 1997</w:t>
        </w:r>
      </w:hyperlink>
      <w:r>
        <w:t xml:space="preserve">)</w:t>
      </w:r>
      <w:r>
        <w:t xml:space="preserve">, using 15 candidate vectors per free parameter for at most 1,000 generations.</w:t>
      </w:r>
      <w:r>
        <w:t xml:space="preserve"> </w:t>
      </w:r>
      <w:r>
        <w:t xml:space="preserve">Three independent starts were run for each model, and the lowest NLL was retained.</w:t>
      </w:r>
      <w:r>
        <w:t xml:space="preserve"> </w:t>
      </w:r>
      <w:r>
        <w:t xml:space="preserve">If the best search result for a larger model had a higher NLL than any immediately nested simpler model, we followed</w:t>
      </w:r>
      <w:r>
        <w:t xml:space="preserve"> </w:t>
      </w:r>
      <w:r>
        <w:t xml:space="preserve">Morton and Polyn (</w:t>
      </w:r>
      <w:hyperlink w:anchor="ref-morton2016predictive">
        <w:r>
          <w:rPr>
            <w:rStyle w:val="Hyperlink"/>
          </w:rPr>
          <w:t xml:space="preserve">2016</w:t>
        </w:r>
      </w:hyperlink>
      <w:r>
        <w:t xml:space="preserve">)</w:t>
      </w:r>
      <w:r>
        <w:t xml:space="preserve"> </w:t>
      </w:r>
      <w:r>
        <w:t xml:space="preserve">by evaluating those simpler-model solutions in the larger parameterization, with the added parameter set to its neutral value, and retained the candidate with the lowest NLL.</w:t>
      </w:r>
      <w:r>
        <w:t xml:space="preserve"> </w:t>
      </w:r>
      <w:r>
        <w:t xml:space="preserve">We compared best-found solutions using</w:t>
      </w:r>
      <w:r>
        <w:t xml:space="preserve"> </w:t>
      </w:r>
      <m:oMath>
        <m:r>
          <m:rPr>
            <m:sty m:val="p"/>
          </m:rPr>
          <m:t>A</m:t>
        </m:r>
        <m:r>
          <m:rPr>
            <m:sty m:val="p"/>
          </m:rPr>
          <m:t>I</m:t>
        </m:r>
        <m:r>
          <m:rPr>
            <m:sty m:val="p"/>
          </m:rPr>
          <m:t>C</m:t>
        </m:r>
        <m:r>
          <m:rPr>
            <m:sty m:val="p"/>
          </m:rPr>
          <m:t>=</m:t>
        </m:r>
        <m:r>
          <m:t>2</m:t>
        </m:r>
        <m:r>
          <m:rPr>
            <m:sty m:val="p"/>
          </m:rPr>
          <m:t>N</m:t>
        </m:r>
        <m:r>
          <m:rPr>
            <m:sty m:val="p"/>
          </m:rPr>
          <m:t>L</m:t>
        </m:r>
        <m:r>
          <m:rPr>
            <m:sty m:val="p"/>
          </m:rPr>
          <m:t>L</m:t>
        </m:r>
        <m:r>
          <m:rPr>
            <m:sty m:val="p"/>
          </m:rPr>
          <m:t>+</m:t>
        </m:r>
        <m:r>
          <m:t>2</m:t>
        </m:r>
        <m:r>
          <m:t>p</m:t>
        </m:r>
      </m:oMath>
      <w:r>
        <w:t xml:space="preserve">, where</w:t>
      </w:r>
      <w:r>
        <w:t xml:space="preserve"> </w:t>
      </w:r>
      <m:oMath>
        <m:r>
          <m:t>p</m:t>
        </m:r>
      </m:oMath>
      <w:r>
        <w:t xml:space="preserve"> </w:t>
      </w:r>
      <w:r>
        <w:t xml:space="preserve">is the number of free parameters</w:t>
      </w:r>
      <w:r>
        <w:t xml:space="preserve"> </w:t>
      </w:r>
      <w:r>
        <w:t xml:space="preserve">(</w:t>
      </w:r>
      <w:hyperlink w:anchor="ref-burnham2002model">
        <w:r>
          <w:rPr>
            <w:rStyle w:val="Hyperlink"/>
          </w:rPr>
          <w:t xml:space="preserve">Burnham &amp; Anderson, 2002</w:t>
        </w:r>
      </w:hyperlink>
      <w:r>
        <w:t xml:space="preserve">)</w:t>
      </w:r>
      <w:r>
        <w:t xml:space="preserve">.</w:t>
      </w:r>
    </w:p>
    <w:p>
      <w:pPr>
        <w:pStyle w:val="BodyText"/>
      </w:pPr>
      <w:r>
        <w:t xml:space="preserve">To interpret the fit differences, we generated 200 complete datasets from each fitted model using the observed lists, standardized Early LPP values, and recall counts.</w:t>
      </w:r>
      <w:r>
        <w:t xml:space="preserve"> </w:t>
      </w:r>
      <w:r>
        <w:t xml:space="preserve">We summarized the difference in recall between emotional and neutral items and the difference in Early LPP between remembered and forgotten items within each category.</w:t>
      </w:r>
      <w:r>
        <w:t xml:space="preserve"> </w:t>
      </w:r>
      <w:r>
        <w:t xml:space="preserve">Events whose Early LPP values were imputed were excluded from the latter diagnostic.</w:t>
      </w:r>
      <w:r>
        <w:t xml:space="preserve"> </w:t>
      </w:r>
      <w:r>
        <w:t xml:space="preserve">These summaries were consequences of which items the model recalled, not additional fitting targets, and therefore provide explanatory diagnostics rather than out-of-sample validation.</w:t>
      </w:r>
    </w:p>
    <w:bookmarkEnd w:id="43"/>
    <w:bookmarkStart w:id="44" w:name="results-1"/>
    <w:p>
      <w:pPr>
        <w:pStyle w:val="Heading3"/>
      </w:pPr>
      <w:r>
        <w:t xml:space="preserve">Results</w:t>
      </w:r>
    </w:p>
    <w:p>
      <w:pPr>
        <w:pStyle w:val="FirstParagraph"/>
      </w:pPr>
      <w:r>
        <w:rPr>
          <w:b/>
          <w:bCs/>
          <w:i/>
          <w:iCs/>
        </w:rPr>
        <w:t xml:space="preserve">Overall comparison</w:t>
      </w:r>
    </w:p>
    <w:p>
      <w:pPr>
        <w:pStyle w:val="BodyText"/>
      </w:pPr>
      <w:hyperlink w:anchor="tbl-model-fit">
        <w:r>
          <w:rPr>
            <w:rStyle w:val="Hyperlink"/>
          </w:rPr>
          <w:t xml:space="preserve">Table 2</w:t>
        </w:r>
      </w:hyperlink>
      <w:r>
        <w:t xml:space="preserve"> </w:t>
      </w:r>
      <w:r>
        <w:t xml:space="preserve">compares how well the eight source-context models predicted which items entered each list’s recalled set, given the observed number of recalls.</w:t>
      </w:r>
      <w:r>
        <w:t xml:space="preserve"> </w:t>
      </w:r>
      <w:r>
        <w:t xml:space="preserve">NLL measures prediction error, so lower values indicate better prediction.</w:t>
      </w:r>
      <w:r>
        <w:t xml:space="preserve"> </w:t>
      </w:r>
      <w:r>
        <w:t xml:space="preserve">AIC also penalizes models for additional free parameters, and</w:t>
      </w:r>
      <w:r>
        <w:t xml:space="preserve"> </w:t>
      </w:r>
      <m:oMath>
        <m:r>
          <m:t>Δ</m:t>
        </m:r>
      </m:oMath>
      <w:r>
        <w:t xml:space="preserve">AIC is the difference between each model’s AIC and the lowest value in the table.</w:t>
      </w:r>
    </w:p>
    <w:p>
      <w:pPr>
        <w:pStyle w:val="BodyText"/>
      </w:pPr>
      <w:r>
        <w:t xml:space="preserve">The model combining preferential emotional learning with an Early LPP modulation only for emotional items had the lowest AIC (NLL = 8243.450,</w:t>
      </w:r>
      <w:r>
        <w:t xml:space="preserve"> </w:t>
      </w:r>
      <m:oMath>
        <m:r>
          <m:t>p</m:t>
        </m:r>
      </m:oMath>
      <w:r>
        <w:t xml:space="preserve"> </w:t>
      </w:r>
      <w:r>
        <w:t xml:space="preserve">= 13, AIC = 16512.900).</w:t>
      </w:r>
      <w:r>
        <w:t xml:space="preserve"> </w:t>
      </w:r>
      <w:r>
        <w:t xml:space="preserve">The Combined LPP model, which added a general Early LPP coefficient, retained the same NLL but used one additional parameter and therefore had an AIC two points higher.</w:t>
      </w:r>
      <w:r>
        <w:t xml:space="preserve"> </w:t>
      </w:r>
      <w:r>
        <w:t xml:space="preserve">The comparisons following</w:t>
      </w:r>
      <w:r>
        <w:t xml:space="preserve"> </w:t>
      </w:r>
      <w:hyperlink w:anchor="tbl-model-fit">
        <w:r>
          <w:rPr>
            <w:rStyle w:val="Hyperlink"/>
          </w:rPr>
          <w:t xml:space="preserve">Table 2</w:t>
        </w:r>
      </w:hyperlink>
      <w:r>
        <w:t xml:space="preserve"> </w:t>
      </w:r>
      <w:r>
        <w:t xml:space="preserve">examine how each learning mechanism contributed to these differences.</w:t>
      </w:r>
    </w:p>
    <w:p>
      <w:pPr>
        <w:pStyle w:val="BodyText"/>
      </w:pPr>
      <w:hyperlink w:anchor="fig-model-recall-rates">
        <w:r>
          <w:rPr>
            <w:rStyle w:val="Hyperlink"/>
          </w:rPr>
          <w:t xml:space="preserve">Figure 5</w:t>
        </w:r>
      </w:hyperlink>
      <w:r>
        <w:t xml:space="preserve"> </w:t>
      </w:r>
      <w:r>
        <w:t xml:space="preserve">and</w:t>
      </w:r>
      <w:r>
        <w:t xml:space="preserve"> </w:t>
      </w:r>
      <w:hyperlink w:anchor="fig-model-early-lpp">
        <w:r>
          <w:rPr>
            <w:rStyle w:val="Hyperlink"/>
          </w:rPr>
          <w:t xml:space="preserve">Figure 6</w:t>
        </w:r>
      </w:hyperlink>
      <w:r>
        <w:t xml:space="preserve"> </w:t>
      </w:r>
      <w:r>
        <w:t xml:space="preserve">show whether the fitted mechanisms reproduced the two empirical patterns that motivated the comparison.</w:t>
      </w:r>
      <w:r>
        <w:t xml:space="preserve"> </w:t>
      </w:r>
      <w:r>
        <w:t xml:space="preserve">The trial-level binomial mixed-effects analysis (</w:t>
      </w:r>
      <w:hyperlink w:anchor="eq-empirical-trial-memory">
        <w:r>
          <w:rPr>
            <w:rStyle w:val="Hyperlink"/>
          </w:rPr>
          <w:t xml:space="preserve">Equation 2</w:t>
        </w:r>
      </w:hyperlink>
      <w:r>
        <w:t xml:space="preserve">) included effects of emotion and Early LPP and an interaction between them.</w:t>
      </w:r>
      <w:r>
        <w:t xml:space="preserve"> </w:t>
      </w:r>
      <w:r>
        <w:t xml:space="preserve">The corresponding model components were preferential emotional learning, a general Early LPP coefficient, and an additional coefficient for emotional items.</w:t>
      </w:r>
      <w:r>
        <w:t xml:space="preserve"> </w:t>
      </w:r>
      <w:r>
        <w:t xml:space="preserve">Here we therefore compare the observed data with simulations from Combined LPP modulation alone, preferential emotional learning alone, and their combination.</w:t>
      </w:r>
      <w:r>
        <w:t xml:space="preserve"> </w:t>
      </w:r>
      <w:hyperlink w:anchor="fig-model-recall-rates">
        <w:r>
          <w:rPr>
            <w:rStyle w:val="Hyperlink"/>
          </w:rPr>
          <w:t xml:space="preserve">Figure 5</w:t>
        </w:r>
      </w:hyperlink>
      <w:r>
        <w:t xml:space="preserve"> </w:t>
      </w:r>
      <w:r>
        <w:t xml:space="preserve">shows whether each model produces the observed recall advantage for emotional over neutral items.</w:t>
      </w:r>
      <w:r>
        <w:t xml:space="preserve"> </w:t>
      </w:r>
      <w:hyperlink w:anchor="fig-model-early-lpp">
        <w:r>
          <w:rPr>
            <w:rStyle w:val="Hyperlink"/>
          </w:rPr>
          <w:t xml:space="preserve">Figure 6</w:t>
        </w:r>
      </w:hyperlink>
      <w:r>
        <w:t xml:space="preserve"> </w:t>
      </w:r>
      <w:r>
        <w:t xml:space="preserve">shows whether each model preferentially recalls items with larger Early LPP values and whether this relationship differs between emotional and neutral items.</w:t>
      </w:r>
      <w:r>
        <w:t xml:space="preserve"> </w:t>
      </w:r>
      <w:r>
        <w:t xml:space="preserve">These summaries were calculated after fitting and did not contribute to NLL or AIC.</w:t>
      </w:r>
    </w:p>
    <w:p>
      <w:pPr>
        <w:pStyle w:val="BodyText"/>
      </w:pPr>
      <w:r>
        <w:t xml:space="preserve">First, we asked whether preferential emotional learning improved prediction of which items were recalled.</w:t>
      </w:r>
      <w:r>
        <w:t xml:space="preserve"> </w:t>
      </w:r>
      <w:r>
        <w:t xml:space="preserve">In these models, preferential emotional learning allowed all emotional items to share an increase in source learning, in addition to any modulation by their individual Early LPP values.</w:t>
      </w:r>
      <w:r>
        <w:t xml:space="preserve"> </w:t>
      </w:r>
      <w:r>
        <w:t xml:space="preserve">Estimating the emotional learning multiplier rather than fixing it at 1 lowered AIC under every Early LPP specification, by between 62.035 and 107.082 points.</w:t>
      </w:r>
      <w:r>
        <w:t xml:space="preserve"> </w:t>
      </w:r>
      <w:r>
        <w:t xml:space="preserve">The estimated multiplier exceeded 1 in all four models (range = 1.86–2.66).</w:t>
      </w:r>
      <w:r>
        <w:t xml:space="preserve"> </w:t>
      </w:r>
      <w:hyperlink w:anchor="fig-model-recall-rates">
        <w:r>
          <w:rPr>
            <w:rStyle w:val="Hyperlink"/>
          </w:rPr>
          <w:t xml:space="preserve">Figure 5</w:t>
        </w:r>
      </w:hyperlink>
      <w:r>
        <w:t xml:space="preserve"> </w:t>
      </w:r>
      <w:r>
        <w:t xml:space="preserve">shows the corresponding simulated recall patterns.</w:t>
      </w:r>
      <w:r>
        <w:t xml:space="preserve"> </w:t>
      </w:r>
      <w:r>
        <w:t xml:space="preserve">The observed difference in recall rate between emotional and neutral items was 0.124.</w:t>
      </w:r>
      <w:r>
        <w:t xml:space="preserve"> </w:t>
      </w:r>
      <w:r>
        <w:t xml:space="preserve">The model with Combined LPP modulation but no preferential emotional learning produced a difference of only 0.036, whereas preferential emotional learning alone and preferential emotional learning combined with Combined LPP modulation produced differences of 0.131 and 0.127, respectively.</w:t>
      </w:r>
      <w:r>
        <w:t xml:space="preserve"> </w:t>
      </w:r>
      <w:r>
        <w:t xml:space="preserve">Thus, trial-level LPP differences alone did not reproduce the overall recall advantage for emotional items.</w:t>
      </w:r>
      <w:r>
        <w:t xml:space="preserve"> </w:t>
      </w:r>
      <w:r>
        <w:t xml:space="preserve">Allowing emotional items to share an increase in source learning improved prediction even when LPP modulation was available.</w:t>
      </w:r>
    </w:p>
    <w:p>
      <w:pPr>
        <w:pStyle w:val="BodyText"/>
      </w:pPr>
      <w:r>
        <w:t xml:space="preserve">Second, we asked whether Early LPP improved prediction of which items entered the recalled set, given the observed number of recalled items.</w:t>
      </w:r>
      <w:r>
        <w:t xml:space="preserve"> </w:t>
      </w:r>
      <w:r>
        <w:t xml:space="preserve">Each of the three LPP specifications lowered AIC relative to the corresponding model without LPP, suggesting that adding the neural evidence into this mechanistic model helps predict memory recall.</w:t>
      </w:r>
      <w:r>
        <w:t xml:space="preserve"> </w:t>
      </w:r>
      <w:r>
        <w:t xml:space="preserve">The improvements ranged from 21.727 to 71.869 points when preferential emotional learning was absent and from 22.926 to 28.021 points when it was present.</w:t>
      </w:r>
      <w:r>
        <w:t xml:space="preserve"> </w:t>
      </w:r>
      <w:hyperlink w:anchor="fig-model-early-lpp">
        <w:r>
          <w:rPr>
            <w:rStyle w:val="Hyperlink"/>
          </w:rPr>
          <w:t xml:space="preserve">Figure 6</w:t>
        </w:r>
      </w:hyperlink>
      <w:r>
        <w:t xml:space="preserve"> </w:t>
      </w:r>
      <w:r>
        <w:t xml:space="preserve">illustrates how this improvement was realized.</w:t>
      </w:r>
      <w:r>
        <w:t xml:space="preserve"> </w:t>
      </w:r>
      <w:r>
        <w:t xml:space="preserve">In the observed data, mean Early LPP was 0.455 higher for remembered than forgotten emotional items, but 0.035 higher for remembered than forgotten neutral items.</w:t>
      </w:r>
      <w:r>
        <w:t xml:space="preserve"> </w:t>
      </w:r>
      <w:r>
        <w:t xml:space="preserve">Preferential emotional learning alone produced almost no difference by memory status in either category (0.024 for emotional and 0.010 for neutral), because its learning multiplier did not vary among items within a category.</w:t>
      </w:r>
      <w:r>
        <w:t xml:space="preserve"> </w:t>
      </w:r>
      <w:r>
        <w:t xml:space="preserve">With Combined LPP modulation, Early LPP was substantially higher for remembered than forgotten emotional items but differed little by memory status for neutral items, both without preferential emotional learning (0.530 and 0.016) and with it (0.356 and 0.011).</w:t>
      </w:r>
      <w:r>
        <w:t xml:space="preserve"> </w:t>
      </w:r>
      <w:r>
        <w:t xml:space="preserve">Each simulated item retained its observed Early LPP value, so this pattern occurred because LPP modulation made emotional items with larger values more likely to enter the recalled set.</w:t>
      </w:r>
      <w:r>
        <w:t xml:space="preserve"> </w:t>
      </w:r>
      <w:r>
        <w:t xml:space="preserve">Early LPP therefore contributed information about differences among emotional items that the common emotional learning multiplier did not provide.</w:t>
      </w:r>
    </w:p>
    <w:p>
      <w:pPr>
        <w:pStyle w:val="BodyText"/>
      </w:pPr>
      <w:r>
        <w:t xml:space="preserve">Finally, we compared the alternative ways in which Early LPP could affect learning.</w:t>
      </w:r>
      <w:r>
        <w:t xml:space="preserve"> </w:t>
      </w:r>
      <w:r>
        <w:t xml:space="preserve">The General and Emotion-dependent specifications each estimated one LPP coefficient and were therefore equally complex.</w:t>
      </w:r>
      <w:r>
        <w:t xml:space="preserve"> </w:t>
      </w:r>
      <w:r>
        <w:t xml:space="preserve">Emotion-dependent LPP had a lower AIC than General LPP by 50.143 points without preferential emotional learning and by 5.096 points with it.</w:t>
      </w:r>
      <w:r>
        <w:t xml:space="preserve"> </w:t>
      </w:r>
      <w:r>
        <w:t xml:space="preserve">Adding the general coefficient to the Emotion-dependent specification produced no further improvement in the retained NLL; the Combined LPP models therefore had AIC values exactly two points higher because they contained one additional parameter.</w:t>
      </w:r>
      <w:r>
        <w:t xml:space="preserve"> </w:t>
      </w:r>
      <w:r>
        <w:t xml:space="preserve">The available optimization thus did not find evidence that a general Early LPP coefficient improved likelihood once the coefficient applied only to emotional items was included.</w:t>
      </w:r>
      <w:r>
        <w:t xml:space="preserve"> </w:t>
      </w:r>
      <w:r>
        <w:t xml:space="preserve">These results indicate that trial-level Early LPP was particularly informative for predicting which emotional items were recalled.</w:t>
      </w:r>
    </w:p>
    <w:p>
      <w:pPr>
        <w:pStyle w:val="BodyText"/>
      </w:pPr>
      <w:r>
        <w:t xml:space="preserve">Among the equally complex 12-parameter models, preferential emotional learning alone also had a lower AIC than General LPP alone by 84.156 points and Emotion-dependent LPP alone by 34.014 points.</w:t>
      </w:r>
      <w:r>
        <w:t xml:space="preserve"> </w:t>
      </w:r>
      <w:r>
        <w:t xml:space="preserve">Early LPP therefore added information about which items were recalled but did not replace preferential emotional learning as an account of the overall recall advantage for emotional items.</w:t>
      </w:r>
    </w:p>
    <w:bookmarkEnd w:id="44"/>
    <w:bookmarkStart w:id="45" w:name="discussion-1"/>
    <w:p>
      <w:pPr>
        <w:pStyle w:val="Heading3"/>
      </w:pPr>
      <w:r>
        <w:t xml:space="preserve">Discussion</w:t>
      </w:r>
    </w:p>
    <w:p>
      <w:pPr>
        <w:pStyle w:val="FirstParagraph"/>
      </w:pPr>
      <w:r>
        <w:t xml:space="preserve">The model comparison indicated that preferential emotional learning and Early LPP provided complementary information.</w:t>
      </w:r>
      <w:r>
        <w:t xml:space="preserve"> </w:t>
      </w:r>
      <w:r>
        <w:t xml:space="preserve">Preferential emotional learning accounted for the overall recall advantage for emotional items, whereas the Early LPP improved prediction of which individual items entered the recalled set given each list’s observed recall count.</w:t>
      </w:r>
      <w:r>
        <w:t xml:space="preserve"> </w:t>
      </w:r>
      <w:r>
        <w:t xml:space="preserve">This contribution was concentrated among emotional items: the Emotion-dependent specification outperformed the equally complex General specification, and the model with the lowest AIC combined Emotion-dependent LPP modulation with preferential emotional learning.</w:t>
      </w:r>
      <w:r>
        <w:t xml:space="preserve"> </w:t>
      </w:r>
      <w:r>
        <w:t xml:space="preserve">Trial-level Early LPP therefore refined predictions within the emotional condition rather than replacing the emotion-dependent mechanism proposed by eCMR.</w:t>
      </w:r>
    </w:p>
    <w:p>
      <w:pPr>
        <w:pStyle w:val="BodyText"/>
      </w:pPr>
      <w:r>
        <w:t xml:space="preserve">The Combined LPP specification provided the closest computational counterpart to the empirical regression because it included one Early LPP coefficient applied to both categories and an additional coefficient applied to emotional items.</w:t>
      </w:r>
      <w:r>
        <w:t xml:space="preserve"> </w:t>
      </w:r>
      <w:r>
        <w:t xml:space="preserve">Its retained solution set the shared coefficient to zero and had the same NLL as the simpler Emotion-dependent model.</w:t>
      </w:r>
      <w:r>
        <w:t xml:space="preserve"> </w:t>
      </w:r>
      <w:r>
        <w:t xml:space="preserve">The available optimization therefore did not find a likelihood improvement from adding the shared Early LPP coefficient once a coefficient applied only to emotional items was included.</w:t>
      </w:r>
      <w:r>
        <w:t xml:space="preserve"> </w:t>
      </w:r>
      <w:r>
        <w:t xml:space="preserve">Because the Combined LPP model contained one additional parameter, the Emotion-dependent model had the lower AIC.</w:t>
      </w:r>
    </w:p>
    <w:bookmarkEnd w:id="45"/>
    <w:bookmarkEnd w:id="46"/>
    <w:bookmarkStart w:id="47" w:name="general-discussion"/>
    <w:p>
      <w:pPr>
        <w:pStyle w:val="Heading2"/>
      </w:pPr>
      <w:r>
        <w:t xml:space="preserve">General Discussion</w:t>
      </w:r>
    </w:p>
    <w:p>
      <w:pPr>
        <w:pStyle w:val="FirstParagraph"/>
      </w:pPr>
      <w:r>
        <w:t xml:space="preserve">This project investigated whether the LPP, measured during encoding, is suitable for neuro-cognitive modelling of emotional memory recall.</w:t>
      </w:r>
      <w:r>
        <w:t xml:space="preserve"> </w:t>
      </w:r>
      <w:r>
        <w:t xml:space="preserve">The ERP analyses showed that the early LPP was reliable in a higher proportion of the participants than the late LPP and was related to subsequent memory.</w:t>
      </w:r>
      <w:r>
        <w:t xml:space="preserve"> </w:t>
      </w:r>
      <w:r>
        <w:t xml:space="preserve">The early LPP predicted memory in an emotion-specific and level-dependent way, tracking recall only for emotional items and only at the single-trial level.</w:t>
      </w:r>
      <w:r>
        <w:t xml:space="preserve"> </w:t>
      </w:r>
      <w:r>
        <w:t xml:space="preserve">The modelling results showed that trial-level early LPP complemented eCMR’s common learning-rate increase for all emotional items, with the best-fitting model including both.</w:t>
      </w:r>
    </w:p>
    <w:p>
      <w:pPr>
        <w:pStyle w:val="BodyText"/>
      </w:pPr>
      <w:r>
        <w:t xml:space="preserve">At the group-level, the focal and the more conservative global ERP analyses replicated the typical LPP ERP effect and Zarubin and colleagues’</w:t>
      </w:r>
      <w:r>
        <w:t xml:space="preserve"> </w:t>
      </w:r>
      <w:r>
        <w:t xml:space="preserve">(</w:t>
      </w:r>
      <w:hyperlink w:anchor="ref-zarubin2020contributions">
        <w:r>
          <w:rPr>
            <w:rStyle w:val="Hyperlink"/>
          </w:rPr>
          <w:t xml:space="preserve">2020</w:t>
        </w:r>
      </w:hyperlink>
      <w:r>
        <w:t xml:space="preserve">)</w:t>
      </w:r>
      <w:r>
        <w:t xml:space="preserve"> </w:t>
      </w:r>
      <w:r>
        <w:t xml:space="preserve">original report with more positive amplitudes for emotional compared to neutral stimuli over centro-parietal electrode sites.</w:t>
      </w:r>
      <w:r>
        <w:t xml:space="preserve"> </w:t>
      </w:r>
      <w:r>
        <w:t xml:space="preserve">The individual-level reliability was higher for the early LPP (73.7% of the participants, Figure 4A) compared to the late LPP (50% of the participants).</w:t>
      </w:r>
      <w:r>
        <w:t xml:space="preserve"> </w:t>
      </w:r>
      <w:r>
        <w:t xml:space="preserve">The reliability of the early LPP here was lower than what has been observed in a previous experiment</w:t>
      </w:r>
      <w:r>
        <w:t xml:space="preserve"> </w:t>
      </w:r>
      <w:r>
        <w:t xml:space="preserve">(</w:t>
      </w:r>
      <w:hyperlink w:anchor="ref-schupp2021case">
        <w:r>
          <w:rPr>
            <w:rStyle w:val="Hyperlink"/>
          </w:rPr>
          <w:t xml:space="preserve">Schupp &amp; Kirmse, 2021</w:t>
        </w:r>
      </w:hyperlink>
      <w:r>
        <w:t xml:space="preserve">)</w:t>
      </w:r>
      <w:r>
        <w:t xml:space="preserve">.</w:t>
      </w:r>
      <w:r>
        <w:t xml:space="preserve"> </w:t>
      </w:r>
      <w:r>
        <w:t xml:space="preserve">This confirms our initial concern that intentional encoding could dilute the emotional modulation of this signal, for example, if participants redistribute attention while comparing or organising items for later recall.</w:t>
      </w:r>
      <w:r>
        <w:t xml:space="preserve"> </w:t>
      </w:r>
      <w:r>
        <w:t xml:space="preserve">Another possible reason for the lower reliability of the LPP in the present study is the stimuli.</w:t>
      </w:r>
      <w:r>
        <w:t xml:space="preserve"> </w:t>
      </w:r>
      <w:r>
        <w:t xml:space="preserve">A recent study showed that while the LPP was reliable for an erotic picture in 93.8% of their sample, the LPP to a mutilation image, which were more similar to the emotionally-valenced images in this study, was only seen in 62.5% of the participants, slightly lower than the 73.7% in our study</w:t>
      </w:r>
      <w:r>
        <w:t xml:space="preserve"> </w:t>
      </w:r>
      <w:r>
        <w:t xml:space="preserve">(</w:t>
      </w:r>
      <w:hyperlink w:anchor="ref-schupp2025case">
        <w:r>
          <w:rPr>
            <w:rStyle w:val="Hyperlink"/>
          </w:rPr>
          <w:t xml:space="preserve">Schupp et al., 2025</w:t>
        </w:r>
      </w:hyperlink>
      <w:r>
        <w:t xml:space="preserve">)</w:t>
      </w:r>
      <w:r>
        <w:t xml:space="preserve">.</w:t>
      </w:r>
      <w:r>
        <w:t xml:space="preserve"> </w:t>
      </w:r>
      <w:r>
        <w:t xml:space="preserve">Other factors that may cause variability in the reliability of the LPP across studies are presentation duration and the signal-to-noise ratio (e.g. number of trials) and the number of participants included in the analysis.</w:t>
      </w:r>
      <w:r>
        <w:t xml:space="preserve"> </w:t>
      </w:r>
      <w:r>
        <w:t xml:space="preserve">Pleasingly, however, despite these challenges, the results of the reliability analysis suggest that the early LPP is reliable in a standard emotional memory encoding task, with typical presentation timing and stimuli, and that it is reliable in more participants than the late LPP.</w:t>
      </w:r>
    </w:p>
    <w:p>
      <w:pPr>
        <w:pStyle w:val="BodyText"/>
      </w:pPr>
      <w:r>
        <w:t xml:space="preserve">Besides being reliable in a higher proportion of the participants, the early LPP also showed a relation to subsequent memory, in the focal ERP analysis (Fig. 2 and 4E), which was absent in the late LPP, replicating previous studies linking the early LPP to subsequent memory</w:t>
      </w:r>
      <w:r>
        <w:t xml:space="preserve"> </w:t>
      </w:r>
      <w:r>
        <w:t xml:space="preserve">(</w:t>
      </w:r>
      <w:hyperlink w:anchor="ref-barnacle2018context">
        <w:r>
          <w:rPr>
            <w:rStyle w:val="Hyperlink"/>
          </w:rPr>
          <w:t xml:space="preserve">Barnacle et al., 2018</w:t>
        </w:r>
      </w:hyperlink>
      <w:r>
        <w:t xml:space="preserve">;</w:t>
      </w:r>
      <w:r>
        <w:t xml:space="preserve"> </w:t>
      </w:r>
      <w:hyperlink w:anchor="ref-dolcos2002event">
        <w:r>
          <w:rPr>
            <w:rStyle w:val="Hyperlink"/>
          </w:rPr>
          <w:t xml:space="preserve">Dolcos &amp; Cabeza, 2002</w:t>
        </w:r>
      </w:hyperlink>
      <w:r>
        <w:t xml:space="preserve">;</w:t>
      </w:r>
      <w:r>
        <w:t xml:space="preserve"> </w:t>
      </w:r>
      <w:hyperlink w:anchor="ref-watts2014neural">
        <w:r>
          <w:rPr>
            <w:rStyle w:val="Hyperlink"/>
          </w:rPr>
          <w:t xml:space="preserve">Watts et al., 2014</w:t>
        </w:r>
      </w:hyperlink>
      <w:r>
        <w:t xml:space="preserve">;</w:t>
      </w:r>
      <w:r>
        <w:t xml:space="preserve"> </w:t>
      </w:r>
      <w:hyperlink w:anchor="ref-zarubin2020contributions">
        <w:r>
          <w:rPr>
            <w:rStyle w:val="Hyperlink"/>
          </w:rPr>
          <w:t xml:space="preserve">Zarubin et al., 2020</w:t>
        </w:r>
      </w:hyperlink>
      <w:r>
        <w:t xml:space="preserve">)</w:t>
      </w:r>
      <w:r>
        <w:t xml:space="preserve">.</w:t>
      </w:r>
      <w:r>
        <w:t xml:space="preserve"> </w:t>
      </w:r>
      <w:r>
        <w:t xml:space="preserve">The global ERP analysis (Fig. 3) showed that there was an Emotion x Memory interaction in a time window roughly overlapping with the early LPP time window (360-1240 ms compared to the 400-1000 ms used for the focal early LPP analysis).</w:t>
      </w:r>
      <w:r>
        <w:t xml:space="preserve"> </w:t>
      </w:r>
      <w:r>
        <w:t xml:space="preserve">The early LPP has spatiotemporal overlap with the P300 component and has been suggested to reflect the same underlying neurocognitive mechanisms as the P300</w:t>
      </w:r>
      <w:r>
        <w:t xml:space="preserve"> </w:t>
      </w:r>
      <w:r>
        <w:t xml:space="preserve">(for reviews, see</w:t>
      </w:r>
      <w:r>
        <w:t xml:space="preserve"> </w:t>
      </w:r>
      <w:hyperlink w:anchor="ref-fields2023p300">
        <w:r>
          <w:rPr>
            <w:rStyle w:val="Hyperlink"/>
          </w:rPr>
          <w:t xml:space="preserve">Fields, 2023</w:t>
        </w:r>
      </w:hyperlink>
      <w:r>
        <w:t xml:space="preserve">;</w:t>
      </w:r>
      <w:r>
        <w:t xml:space="preserve"> </w:t>
      </w:r>
      <w:hyperlink w:anchor="ref-hajcak2020significance">
        <w:r>
          <w:rPr>
            <w:rStyle w:val="Hyperlink"/>
          </w:rPr>
          <w:t xml:space="preserve">Hajcak &amp; Foti, 2020</w:t>
        </w:r>
      </w:hyperlink>
      <w:r>
        <w:t xml:space="preserve">)</w:t>
      </w:r>
      <w:r>
        <w:t xml:space="preserve">.</w:t>
      </w:r>
    </w:p>
    <w:p>
      <w:pPr>
        <w:pStyle w:val="BodyText"/>
      </w:pPr>
      <w:r>
        <w:t xml:space="preserve">Interestingly, both the global ERP analysis and the focal analysis of the early LPP time window showed that LPP amplitude only predicted subsequent memory for emotional pictures.</w:t>
      </w:r>
      <w:r>
        <w:t xml:space="preserve"> </w:t>
      </w:r>
      <w:r>
        <w:t xml:space="preserve">The model comparison showed the same specificity: the Emotion-dependent LPP specification had a lower AIC than the equally complex General specification.</w:t>
      </w:r>
      <w:r>
        <w:t xml:space="preserve"> </w:t>
      </w:r>
      <w:r>
        <w:t xml:space="preserve">This convergent pattern appears to be inconsistent with other theoretical accounts of the LPP.</w:t>
      </w:r>
      <w:r>
        <w:t xml:space="preserve"> </w:t>
      </w:r>
      <w:r>
        <w:t xml:space="preserve">Some suggest that the LPP reflects attention, stimulus significance</w:t>
      </w:r>
      <w:r>
        <w:t xml:space="preserve"> </w:t>
      </w:r>
      <w:r>
        <w:t xml:space="preserve">(</w:t>
      </w:r>
      <w:hyperlink w:anchor="ref-hajcak2020significance">
        <w:r>
          <w:rPr>
            <w:rStyle w:val="Hyperlink"/>
          </w:rPr>
          <w:t xml:space="preserve">Hajcak &amp; Foti, 2020</w:t>
        </w:r>
      </w:hyperlink>
      <w:r>
        <w:t xml:space="preserve">)</w:t>
      </w:r>
      <w:r>
        <w:t xml:space="preserve"> </w:t>
      </w:r>
      <w:r>
        <w:t xml:space="preserve">or tagging of memories as important for consolidation</w:t>
      </w:r>
      <w:r>
        <w:t xml:space="preserve"> </w:t>
      </w:r>
      <w:r>
        <w:t xml:space="preserve">(</w:t>
      </w:r>
      <w:hyperlink w:anchor="ref-fields2023p300">
        <w:r>
          <w:rPr>
            <w:rStyle w:val="Hyperlink"/>
          </w:rPr>
          <w:t xml:space="preserve">Fields, 2023</w:t>
        </w:r>
      </w:hyperlink>
      <w:r>
        <w:t xml:space="preserve">)</w:t>
      </w:r>
      <w:r>
        <w:t xml:space="preserve">.</w:t>
      </w:r>
      <w:r>
        <w:t xml:space="preserve"> </w:t>
      </w:r>
      <w:r>
        <w:t xml:space="preserve">It is difficult to reconcile the pattern of results we observed here with these theories, since they predict a subsequent memory LPP effect also for neutral items, not just for emotional ones.</w:t>
      </w:r>
      <w:r>
        <w:t xml:space="preserve"> </w:t>
      </w:r>
      <w:r>
        <w:t xml:space="preserve">We speculate that potential differences in stimulus significance, that normally capture attention and promote subsequent memory, are overshadowed by the presence of highly emotional stimuli.</w:t>
      </w:r>
      <w:r>
        <w:t xml:space="preserve"> </w:t>
      </w:r>
      <w:r>
        <w:t xml:space="preserve">Future research can test this hypothesis by examining lists that consist only of stimuli of one type (pure lists) and those that mix emotional and neutral stimuli (mixed lists).</w:t>
      </w:r>
      <w:r>
        <w:t xml:space="preserve"> </w:t>
      </w:r>
      <w:r>
        <w:t xml:space="preserve">We predict that in pure lists, the LPP is larger for subsequently remembered items in both emotional and neutral lists.</w:t>
      </w:r>
    </w:p>
    <w:p>
      <w:pPr>
        <w:pStyle w:val="BodyText"/>
      </w:pPr>
      <w:r>
        <w:t xml:space="preserve">We next investigated the relationship between the LPP and emotion-enhanced memory.</w:t>
      </w:r>
      <w:r>
        <w:t xml:space="preserve"> </w:t>
      </w:r>
      <w:r>
        <w:t xml:space="preserve">We found moderate Bayesian support for no correlation between the LPP (negative-neutral) and emotion-enhanced memory across participants in either the early or the late LPP time window (Fig. 4B and 4C).</w:t>
      </w:r>
      <w:r>
        <w:t xml:space="preserve"> </w:t>
      </w:r>
      <w:r>
        <w:t xml:space="preserve">Individual differences in the magnitude of the LPP could be dependent on several factors unrelated to the cognitive processes the LPP reflects.</w:t>
      </w:r>
      <w:r>
        <w:t xml:space="preserve"> </w:t>
      </w:r>
      <w:r>
        <w:t xml:space="preserve">Differences in neuroanatomy, skull thickness and electrode impedance could for example affect LPP amplitude which potentially could explain the lack of correlation.</w:t>
      </w:r>
      <w:r>
        <w:t xml:space="preserve"> </w:t>
      </w:r>
      <w:r>
        <w:t xml:space="preserve">Similarly, individual differences in amplitude of the left parietal old/new effect in recognition memory have been shown not to correlate with individual differences in recollection despite showing a relationship within participants</w:t>
      </w:r>
      <w:r>
        <w:t xml:space="preserve"> </w:t>
      </w:r>
      <w:r>
        <w:t xml:space="preserve">(</w:t>
      </w:r>
      <w:hyperlink w:anchor="ref-macleod2017left">
        <w:r>
          <w:rPr>
            <w:rStyle w:val="Hyperlink"/>
          </w:rPr>
          <w:t xml:space="preserve">MacLeod &amp; Donaldson, 2017</w:t>
        </w:r>
      </w:hyperlink>
      <w:r>
        <w:t xml:space="preserve">)</w:t>
      </w:r>
      <w:r>
        <w:t xml:space="preserve">.</w:t>
      </w:r>
      <w:r>
        <w:t xml:space="preserve"> </w:t>
      </w:r>
      <w:r>
        <w:t xml:space="preserve">Surprisingly, we also observed moderate Bayesian evidence for no correlation between the amplitude of the LPP and the size of the emotion-enhanced memory effect across the nine lists within participants.</w:t>
      </w:r>
      <w:r>
        <w:t xml:space="preserve"> </w:t>
      </w:r>
      <w:r>
        <w:t xml:space="preserve">Instead, the relationship was present when analysing the data at the single-trial level using a binomial generalized mixed-effect model.</w:t>
      </w:r>
      <w:r>
        <w:t xml:space="preserve"> </w:t>
      </w:r>
      <w:r>
        <w:t xml:space="preserve">Taken together, the pattern of results suggests that the relationship between the emotion-enhanced LPP and emotion-enhanced memory is best captured at the single-trial level in the present analyses, informing our use of trial-level early LPP to model which encoded items were later recalled.</w:t>
      </w:r>
    </w:p>
    <w:p>
      <w:pPr>
        <w:pStyle w:val="BodyText"/>
      </w:pPr>
      <w:r>
        <w:t xml:space="preserve">Computational models are useful because they specify how encoding, maintenance, and retrieval processes may give rise to recall.</w:t>
      </w:r>
      <w:r>
        <w:t xml:space="preserve"> </w:t>
      </w:r>
      <w:r>
        <w:t xml:space="preserve">Comparing their predictions with observed recall allows alternative computational accounts to be evaluated against one another.</w:t>
      </w:r>
      <w:r>
        <w:t xml:space="preserve"> </w:t>
      </w:r>
      <w:r>
        <w:t xml:space="preserve">Here, the best-fitting model allowed a neural signal measured during encoding – the early LPP – to modulate source learning specifically for emotional items, alongside the common learning-rate increase for all emotional items.</w:t>
      </w:r>
      <w:r>
        <w:t xml:space="preserve"> </w:t>
      </w:r>
      <w:r>
        <w:t xml:space="preserve">This finding suggests that the LPP may reflect item-level variation in encoding processes that eCMR represents as stronger associations between emotional source context and individual items, rather than merely reflecting a general emotional response.</w:t>
      </w:r>
    </w:p>
    <w:p>
      <w:pPr>
        <w:pStyle w:val="BodyText"/>
      </w:pPr>
      <w:r>
        <w:t xml:space="preserve">More broadly, these results provide a proof of principle that trial-level early LPP can add item-level information to a computational account of emotional recall, complementing rather than replacing the category-wide emotional-learning mechanism.</w:t>
      </w:r>
      <w:r>
        <w:t xml:space="preserve"> </w:t>
      </w:r>
      <w:r>
        <w:t xml:space="preserve">This improvement concerned which emotional items entered the recalled set, conditional on each list’s observed recall count.</w:t>
      </w:r>
      <w:r>
        <w:t xml:space="preserve"> </w:t>
      </w:r>
      <w:r>
        <w:t xml:space="preserve">It does not yet establish prospective prediction for individuals: the model used one pooled parameter vector, did not model recall termination, and was evaluated on the same data used for fitting rather than on held-out data.</w:t>
      </w:r>
      <w:r>
        <w:t xml:space="preserve"> </w:t>
      </w:r>
      <w:r>
        <w:t xml:space="preserve">Individualized prediction would require participant-level or hierarchical modelling, a validated account of recall termination, and evaluation on new participants or lists.</w:t>
      </w:r>
      <w:r>
        <w:t xml:space="preserve"> </w:t>
      </w:r>
      <w:r>
        <w:t xml:space="preserve">With those extensions, combining scalp EEG with neurocognitive models may eventually support individualized prediction in clinical or educational settings.</w:t>
      </w:r>
    </w:p>
    <w:p>
      <w:pPr>
        <w:pStyle w:val="BodyText"/>
      </w:pPr>
      <w:r>
        <w:rPr>
          <w:b/>
          <w:bCs/>
        </w:rPr>
        <w:t xml:space="preserve">Author contributions</w:t>
      </w:r>
    </w:p>
    <w:p>
      <w:pPr>
        <w:pStyle w:val="BodyText"/>
      </w:pPr>
      <w:r>
        <w:rPr>
          <w:b/>
          <w:bCs/>
        </w:rPr>
        <w:t xml:space="preserve">Robin Hellerstedt</w:t>
      </w:r>
      <w:r>
        <w:t xml:space="preserve">: Conceptualisation, data curation, methodology, formal analysis, project administration, visualisation, writing – original draft, writing – review &amp; editing.</w:t>
      </w:r>
      <w:r>
        <w:t xml:space="preserve"> </w:t>
      </w:r>
      <w:r>
        <w:rPr>
          <w:b/>
          <w:bCs/>
        </w:rPr>
        <w:t xml:space="preserve">Jordan Gunn</w:t>
      </w:r>
      <w:r>
        <w:t xml:space="preserve">: Conceptualisation, formal analysis, methodology, software, visualisation, writing – original draft, writing – review &amp; editing.</w:t>
      </w:r>
      <w:r>
        <w:t xml:space="preserve"> </w:t>
      </w:r>
      <w:r>
        <w:rPr>
          <w:b/>
          <w:bCs/>
        </w:rPr>
        <w:t xml:space="preserve">Deborah Talmi</w:t>
      </w:r>
      <w:r>
        <w:t xml:space="preserve">: Conceptualisation, funding acquisition, methodology, project administration, resources, supervision, visualisation, writing – original draft, writing – review &amp; editing.</w:t>
      </w:r>
    </w:p>
    <w:bookmarkEnd w:id="47"/>
    <w:bookmarkStart w:id="166" w:name="references"/>
    <w:p>
      <w:pPr>
        <w:pStyle w:val="Heading2"/>
      </w:pPr>
      <w:r>
        <w:t xml:space="preserve">References</w:t>
      </w:r>
    </w:p>
    <w:bookmarkStart w:id="165" w:name="refs"/>
    <w:bookmarkStart w:id="49" w:name="ref-anderson2005affective"/>
    <w:p>
      <w:pPr>
        <w:pStyle w:val="Bibliography"/>
      </w:pPr>
      <w:r>
        <w:t xml:space="preserve">Anderson, A. K. (2005). Affective influences on the attentional dynamics supporting awareness.</w:t>
      </w:r>
      <w:r>
        <w:t xml:space="preserve"> </w:t>
      </w:r>
      <w:r>
        <w:rPr>
          <w:i/>
          <w:iCs/>
        </w:rPr>
        <w:t xml:space="preserve">Journal of Experimental Psychology: General</w:t>
      </w:r>
      <w:r>
        <w:t xml:space="preserve">,</w:t>
      </w:r>
      <w:r>
        <w:t xml:space="preserve"> </w:t>
      </w:r>
      <w:r>
        <w:rPr>
          <w:i/>
          <w:iCs/>
        </w:rPr>
        <w:t xml:space="preserve">134</w:t>
      </w:r>
      <w:r>
        <w:t xml:space="preserve">(2), 258–281.</w:t>
      </w:r>
      <w:r>
        <w:t xml:space="preserve"> </w:t>
      </w:r>
      <w:hyperlink r:id="rId48">
        <w:r>
          <w:rPr>
            <w:rStyle w:val="Hyperlink"/>
          </w:rPr>
          <w:t xml:space="preserve">https://doi.org/10.1037/0096-3445.134.2.258</w:t>
        </w:r>
      </w:hyperlink>
    </w:p>
    <w:bookmarkEnd w:id="49"/>
    <w:bookmarkStart w:id="51" w:name="ref-barnacle2018context"/>
    <w:p>
      <w:pPr>
        <w:pStyle w:val="Bibliography"/>
      </w:pPr>
      <w:r>
        <w:t xml:space="preserve">Barnacle, G. E., Tsivilis, D., Schaefer, A., &amp; Talmi, D. (2018). Local context influences memory for emotional stimuli but not electrophysiological markers of emotion-dependent attention.</w:t>
      </w:r>
      <w:r>
        <w:t xml:space="preserve"> </w:t>
      </w:r>
      <w:r>
        <w:rPr>
          <w:i/>
          <w:iCs/>
        </w:rPr>
        <w:t xml:space="preserve">Psychophysiology</w:t>
      </w:r>
      <w:r>
        <w:t xml:space="preserve">,</w:t>
      </w:r>
      <w:r>
        <w:t xml:space="preserve"> </w:t>
      </w:r>
      <w:r>
        <w:rPr>
          <w:i/>
          <w:iCs/>
        </w:rPr>
        <w:t xml:space="preserve">55</w:t>
      </w:r>
      <w:r>
        <w:t xml:space="preserve">(4), e13014.</w:t>
      </w:r>
      <w:r>
        <w:t xml:space="preserve"> </w:t>
      </w:r>
      <w:hyperlink r:id="rId50">
        <w:r>
          <w:rPr>
            <w:rStyle w:val="Hyperlink"/>
          </w:rPr>
          <w:t xml:space="preserve">https://doi.org/10.1111/psyp.13014</w:t>
        </w:r>
      </w:hyperlink>
    </w:p>
    <w:bookmarkEnd w:id="51"/>
    <w:bookmarkStart w:id="53" w:name="ref-bates2015lme4"/>
    <w:p>
      <w:pPr>
        <w:pStyle w:val="Bibliography"/>
      </w:pPr>
      <w:r>
        <w:t xml:space="preserve">Bates, D., Mächler, M., Bolker, B., &amp; Walker, S. (2015). Fitting linear mixed-effects models using lme4.</w:t>
      </w:r>
      <w:r>
        <w:t xml:space="preserve"> </w:t>
      </w:r>
      <w:r>
        <w:rPr>
          <w:i/>
          <w:iCs/>
        </w:rPr>
        <w:t xml:space="preserve">Journal of Statistical Software</w:t>
      </w:r>
      <w:r>
        <w:t xml:space="preserve">,</w:t>
      </w:r>
      <w:r>
        <w:t xml:space="preserve"> </w:t>
      </w:r>
      <w:r>
        <w:rPr>
          <w:i/>
          <w:iCs/>
        </w:rPr>
        <w:t xml:space="preserve">67</w:t>
      </w:r>
      <w:r>
        <w:t xml:space="preserve">(1), 1–48.</w:t>
      </w:r>
      <w:r>
        <w:t xml:space="preserve"> </w:t>
      </w:r>
      <w:hyperlink r:id="rId52">
        <w:r>
          <w:rPr>
            <w:rStyle w:val="Hyperlink"/>
          </w:rPr>
          <w:t xml:space="preserve">https://doi.org/10.18637/jss.v067.i01</w:t>
        </w:r>
      </w:hyperlink>
    </w:p>
    <w:bookmarkEnd w:id="53"/>
    <w:bookmarkStart w:id="55" w:name="ref-burnham2002model"/>
    <w:p>
      <w:pPr>
        <w:pStyle w:val="Bibliography"/>
      </w:pPr>
      <w:r>
        <w:t xml:space="preserve">Burnham, K. P., &amp; Anderson, D. R. (2002).</w:t>
      </w:r>
      <w:r>
        <w:t xml:space="preserve"> </w:t>
      </w:r>
      <w:r>
        <w:rPr>
          <w:i/>
          <w:iCs/>
        </w:rPr>
        <w:t xml:space="preserve">Model selection and multimodel inference: A practical information-theoretic approach</w:t>
      </w:r>
      <w:r>
        <w:t xml:space="preserve"> </w:t>
      </w:r>
      <w:r>
        <w:t xml:space="preserve">(2nd ed.). Springer.</w:t>
      </w:r>
      <w:r>
        <w:t xml:space="preserve"> </w:t>
      </w:r>
      <w:hyperlink r:id="rId54">
        <w:r>
          <w:rPr>
            <w:rStyle w:val="Hyperlink"/>
          </w:rPr>
          <w:t xml:space="preserve">https://doi.org/10.1007/b97636</w:t>
        </w:r>
      </w:hyperlink>
    </w:p>
    <w:bookmarkEnd w:id="55"/>
    <w:bookmarkStart w:id="57" w:name="ref-chun2007interactions"/>
    <w:p>
      <w:pPr>
        <w:pStyle w:val="Bibliography"/>
      </w:pPr>
      <w:r>
        <w:t xml:space="preserve">Chun, M. M., &amp; Turk-Browne, N. B. (2007). Interactions between attention and memory.</w:t>
      </w:r>
      <w:r>
        <w:t xml:space="preserve"> </w:t>
      </w:r>
      <w:r>
        <w:rPr>
          <w:i/>
          <w:iCs/>
        </w:rPr>
        <w:t xml:space="preserve">Current Opinion in Neurobiology</w:t>
      </w:r>
      <w:r>
        <w:t xml:space="preserve">,</w:t>
      </w:r>
      <w:r>
        <w:t xml:space="preserve"> </w:t>
      </w:r>
      <w:r>
        <w:rPr>
          <w:i/>
          <w:iCs/>
        </w:rPr>
        <w:t xml:space="preserve">17</w:t>
      </w:r>
      <w:r>
        <w:t xml:space="preserve">(2), 177–184.</w:t>
      </w:r>
      <w:r>
        <w:t xml:space="preserve"> </w:t>
      </w:r>
      <w:hyperlink r:id="rId56">
        <w:r>
          <w:rPr>
            <w:rStyle w:val="Hyperlink"/>
          </w:rPr>
          <w:t xml:space="preserve">https://doi.org/10.1016/j.conb.2007.03.005</w:t>
        </w:r>
      </w:hyperlink>
    </w:p>
    <w:bookmarkEnd w:id="57"/>
    <w:bookmarkStart w:id="59" w:name="ref-cohen2022memory"/>
    <w:p>
      <w:pPr>
        <w:pStyle w:val="Bibliography"/>
      </w:pPr>
      <w:r>
        <w:t xml:space="preserve">Cohen, R. T., &amp; Kahana, M. J. (2022). A memory-based theory of emotional disorders.</w:t>
      </w:r>
      <w:r>
        <w:t xml:space="preserve"> </w:t>
      </w:r>
      <w:r>
        <w:rPr>
          <w:i/>
          <w:iCs/>
        </w:rPr>
        <w:t xml:space="preserve">Psychological Review</w:t>
      </w:r>
      <w:r>
        <w:t xml:space="preserve">,</w:t>
      </w:r>
      <w:r>
        <w:t xml:space="preserve"> </w:t>
      </w:r>
      <w:r>
        <w:rPr>
          <w:i/>
          <w:iCs/>
        </w:rPr>
        <w:t xml:space="preserve">129</w:t>
      </w:r>
      <w:r>
        <w:t xml:space="preserve">(4), 742–776.</w:t>
      </w:r>
      <w:r>
        <w:t xml:space="preserve"> </w:t>
      </w:r>
      <w:hyperlink r:id="rId58">
        <w:r>
          <w:rPr>
            <w:rStyle w:val="Hyperlink"/>
          </w:rPr>
          <w:t xml:space="preserve">https://doi.org/10.1037/rev0000334</w:t>
        </w:r>
      </w:hyperlink>
    </w:p>
    <w:bookmarkEnd w:id="59"/>
    <w:bookmarkStart w:id="61" w:name="ref-cuthbert2000brain"/>
    <w:p>
      <w:pPr>
        <w:pStyle w:val="Bibliography"/>
      </w:pPr>
      <w:r>
        <w:t xml:space="preserve">Cuthbert, B. N., Schupp, H. T., Bradley, M. M., Birbaumer, N., &amp; Lang, P. J. (2000). Brain potentials in affective picture processing: Covariation with autonomic arousal and affective report.</w:t>
      </w:r>
      <w:r>
        <w:t xml:space="preserve"> </w:t>
      </w:r>
      <w:r>
        <w:rPr>
          <w:i/>
          <w:iCs/>
        </w:rPr>
        <w:t xml:space="preserve">Biological Psychology</w:t>
      </w:r>
      <w:r>
        <w:t xml:space="preserve">,</w:t>
      </w:r>
      <w:r>
        <w:t xml:space="preserve"> </w:t>
      </w:r>
      <w:r>
        <w:rPr>
          <w:i/>
          <w:iCs/>
        </w:rPr>
        <w:t xml:space="preserve">52</w:t>
      </w:r>
      <w:r>
        <w:t xml:space="preserve">(2), 95–111.</w:t>
      </w:r>
      <w:r>
        <w:t xml:space="preserve"> </w:t>
      </w:r>
      <w:hyperlink r:id="rId60">
        <w:r>
          <w:rPr>
            <w:rStyle w:val="Hyperlink"/>
          </w:rPr>
          <w:t xml:space="preserve">https://doi.org/10.1016/S0301-0511(99)00044-7</w:t>
        </w:r>
      </w:hyperlink>
    </w:p>
    <w:bookmarkEnd w:id="61"/>
    <w:bookmarkStart w:id="63" w:name="ref-danglauser2011geneva"/>
    <w:p>
      <w:pPr>
        <w:pStyle w:val="Bibliography"/>
      </w:pPr>
      <w:r>
        <w:t xml:space="preserve">Dan-Glauser, E. S., &amp; Scherer, K. R. (2011). The geneva affective picture database (</w:t>
      </w:r>
      <w:r>
        <w:t xml:space="preserve">GAPED</w:t>
      </w:r>
      <w:r>
        <w:t xml:space="preserve">): A new 730-picture database focusing on valence and normative significance.</w:t>
      </w:r>
      <w:r>
        <w:t xml:space="preserve"> </w:t>
      </w:r>
      <w:r>
        <w:rPr>
          <w:i/>
          <w:iCs/>
        </w:rPr>
        <w:t xml:space="preserve">Behavior Research Methods</w:t>
      </w:r>
      <w:r>
        <w:t xml:space="preserve">,</w:t>
      </w:r>
      <w:r>
        <w:t xml:space="preserve"> </w:t>
      </w:r>
      <w:r>
        <w:rPr>
          <w:i/>
          <w:iCs/>
        </w:rPr>
        <w:t xml:space="preserve">43</w:t>
      </w:r>
      <w:r>
        <w:t xml:space="preserve">(2), 468–477.</w:t>
      </w:r>
      <w:r>
        <w:t xml:space="preserve"> </w:t>
      </w:r>
      <w:hyperlink r:id="rId62">
        <w:r>
          <w:rPr>
            <w:rStyle w:val="Hyperlink"/>
          </w:rPr>
          <w:t xml:space="preserve">https://doi.org/10.3758/s13428-011-0064-1</w:t>
        </w:r>
      </w:hyperlink>
    </w:p>
    <w:bookmarkEnd w:id="63"/>
    <w:bookmarkStart w:id="65" w:name="ref-delorme2004eeglab"/>
    <w:p>
      <w:pPr>
        <w:pStyle w:val="Bibliography"/>
      </w:pPr>
      <w:r>
        <w:t xml:space="preserve">Delorme, A., &amp; Makeig, S. (2004).</w:t>
      </w:r>
      <w:r>
        <w:t xml:space="preserve"> </w:t>
      </w:r>
      <w:r>
        <w:t xml:space="preserve">EEGLAB</w:t>
      </w:r>
      <w:r>
        <w:t xml:space="preserve">: An open source toolbox for analysis of single-trial</w:t>
      </w:r>
      <w:r>
        <w:t xml:space="preserve"> </w:t>
      </w:r>
      <w:r>
        <w:t xml:space="preserve">EEG</w:t>
      </w:r>
      <w:r>
        <w:t xml:space="preserve"> </w:t>
      </w:r>
      <w:r>
        <w:t xml:space="preserve">dynamics including independent component analysis.</w:t>
      </w:r>
      <w:r>
        <w:t xml:space="preserve"> </w:t>
      </w:r>
      <w:r>
        <w:rPr>
          <w:i/>
          <w:iCs/>
        </w:rPr>
        <w:t xml:space="preserve">Journal of Neuroscience Methods</w:t>
      </w:r>
      <w:r>
        <w:t xml:space="preserve">,</w:t>
      </w:r>
      <w:r>
        <w:t xml:space="preserve"> </w:t>
      </w:r>
      <w:r>
        <w:rPr>
          <w:i/>
          <w:iCs/>
        </w:rPr>
        <w:t xml:space="preserve">134</w:t>
      </w:r>
      <w:r>
        <w:t xml:space="preserve">(1), 9–21.</w:t>
      </w:r>
      <w:r>
        <w:t xml:space="preserve"> </w:t>
      </w:r>
      <w:hyperlink r:id="rId64">
        <w:r>
          <w:rPr>
            <w:rStyle w:val="Hyperlink"/>
          </w:rPr>
          <w:t xml:space="preserve">https://doi.org/10.1016/j.jneumeth.2003.10.009</w:t>
        </w:r>
      </w:hyperlink>
    </w:p>
    <w:bookmarkEnd w:id="65"/>
    <w:bookmarkStart w:id="67" w:name="ref-dolcos2002event"/>
    <w:p>
      <w:pPr>
        <w:pStyle w:val="Bibliography"/>
      </w:pPr>
      <w:r>
        <w:t xml:space="preserve">Dolcos, F., &amp; Cabeza, R. (2002). Event-related potentials of emotional memory: Encoding pleasant, unpleasant, and neutral pictures.</w:t>
      </w:r>
      <w:r>
        <w:t xml:space="preserve"> </w:t>
      </w:r>
      <w:r>
        <w:rPr>
          <w:i/>
          <w:iCs/>
        </w:rPr>
        <w:t xml:space="preserve">Cognitive, Affective, &amp; Behavioral Neuroscience</w:t>
      </w:r>
      <w:r>
        <w:t xml:space="preserve">,</w:t>
      </w:r>
      <w:r>
        <w:t xml:space="preserve"> </w:t>
      </w:r>
      <w:r>
        <w:rPr>
          <w:i/>
          <w:iCs/>
        </w:rPr>
        <w:t xml:space="preserve">2</w:t>
      </w:r>
      <w:r>
        <w:t xml:space="preserve">(3), 252–263.</w:t>
      </w:r>
      <w:r>
        <w:t xml:space="preserve"> </w:t>
      </w:r>
      <w:hyperlink r:id="rId66">
        <w:r>
          <w:rPr>
            <w:rStyle w:val="Hyperlink"/>
          </w:rPr>
          <w:t xml:space="preserve">https://doi.org/10.3758/CABN.2.3.252</w:t>
        </w:r>
      </w:hyperlink>
    </w:p>
    <w:bookmarkEnd w:id="67"/>
    <w:bookmarkStart w:id="69" w:name="ref-fields2023p300"/>
    <w:p>
      <w:pPr>
        <w:pStyle w:val="Bibliography"/>
      </w:pPr>
      <w:r>
        <w:t xml:space="preserve">Fields, E. C. (2023). The</w:t>
      </w:r>
      <w:r>
        <w:t xml:space="preserve"> </w:t>
      </w:r>
      <w:r>
        <w:t xml:space="preserve">P300</w:t>
      </w:r>
      <w:r>
        <w:t xml:space="preserve">, the</w:t>
      </w:r>
      <w:r>
        <w:t xml:space="preserve"> </w:t>
      </w:r>
      <w:r>
        <w:t xml:space="preserve">LPP</w:t>
      </w:r>
      <w:r>
        <w:t xml:space="preserve">, context updating, and memory: What is the functional significance of the emotion-related late positive potential?</w:t>
      </w:r>
      <w:r>
        <w:t xml:space="preserve"> </w:t>
      </w:r>
      <w:r>
        <w:rPr>
          <w:i/>
          <w:iCs/>
        </w:rPr>
        <w:t xml:space="preserve">International Journal of Psychophysiology</w:t>
      </w:r>
      <w:r>
        <w:t xml:space="preserve">,</w:t>
      </w:r>
      <w:r>
        <w:t xml:space="preserve"> </w:t>
      </w:r>
      <w:r>
        <w:rPr>
          <w:i/>
          <w:iCs/>
        </w:rPr>
        <w:t xml:space="preserve">192</w:t>
      </w:r>
      <w:r>
        <w:t xml:space="preserve">, 43–52.</w:t>
      </w:r>
      <w:r>
        <w:t xml:space="preserve"> </w:t>
      </w:r>
      <w:hyperlink r:id="rId68">
        <w:r>
          <w:rPr>
            <w:rStyle w:val="Hyperlink"/>
          </w:rPr>
          <w:t xml:space="preserve">https://doi.org/10.1016/j.ijpsycho.2023.08.005</w:t>
        </w:r>
      </w:hyperlink>
    </w:p>
    <w:bookmarkEnd w:id="69"/>
    <w:bookmarkStart w:id="71" w:name="ref-folkerts2018human"/>
    <w:p>
      <w:pPr>
        <w:pStyle w:val="Bibliography"/>
      </w:pPr>
      <w:r>
        <w:t xml:space="preserve">Folkerts, S., Rutishauser, U., &amp; Howard, M. W. (2018). Human episodic memory retrieval is accompanied by a neural contiguity effect.</w:t>
      </w:r>
      <w:r>
        <w:t xml:space="preserve"> </w:t>
      </w:r>
      <w:r>
        <w:rPr>
          <w:i/>
          <w:iCs/>
        </w:rPr>
        <w:t xml:space="preserve">The Journal of Neuroscience</w:t>
      </w:r>
      <w:r>
        <w:t xml:space="preserve">,</w:t>
      </w:r>
      <w:r>
        <w:t xml:space="preserve"> </w:t>
      </w:r>
      <w:r>
        <w:rPr>
          <w:i/>
          <w:iCs/>
        </w:rPr>
        <w:t xml:space="preserve">38</w:t>
      </w:r>
      <w:r>
        <w:t xml:space="preserve">(17), 4200–4211.</w:t>
      </w:r>
      <w:r>
        <w:t xml:space="preserve"> </w:t>
      </w:r>
      <w:hyperlink r:id="rId70">
        <w:r>
          <w:rPr>
            <w:rStyle w:val="Hyperlink"/>
          </w:rPr>
          <w:t xml:space="preserve">https://doi.org/10.1523/JNEUROSCI.2312-17.2018</w:t>
        </w:r>
      </w:hyperlink>
    </w:p>
    <w:bookmarkEnd w:id="71"/>
    <w:bookmarkStart w:id="72" w:name="ref-fox2019companion"/>
    <w:p>
      <w:pPr>
        <w:pStyle w:val="Bibliography"/>
      </w:pPr>
      <w:r>
        <w:t xml:space="preserve">Fox, J., &amp; Weisberg, S. (2019).</w:t>
      </w:r>
      <w:r>
        <w:t xml:space="preserve"> </w:t>
      </w:r>
      <w:r>
        <w:rPr>
          <w:i/>
          <w:iCs/>
        </w:rPr>
        <w:t xml:space="preserve">An</w:t>
      </w:r>
      <w:r>
        <w:rPr>
          <w:i/>
          <w:iCs/>
        </w:rPr>
        <w:t xml:space="preserve"> </w:t>
      </w:r>
      <w:r>
        <w:rPr>
          <w:i/>
          <w:iCs/>
        </w:rPr>
        <w:t xml:space="preserve">R</w:t>
      </w:r>
      <w:r>
        <w:rPr>
          <w:i/>
          <w:iCs/>
        </w:rPr>
        <w:t xml:space="preserve"> </w:t>
      </w:r>
      <w:r>
        <w:rPr>
          <w:i/>
          <w:iCs/>
        </w:rPr>
        <w:t xml:space="preserve">companion to applied regression</w:t>
      </w:r>
      <w:r>
        <w:t xml:space="preserve"> </w:t>
      </w:r>
      <w:r>
        <w:t xml:space="preserve">(3rd ed.). Sage Publications.</w:t>
      </w:r>
    </w:p>
    <w:bookmarkEnd w:id="72"/>
    <w:bookmarkStart w:id="74" w:name="ref-gelman2006data"/>
    <w:p>
      <w:pPr>
        <w:pStyle w:val="Bibliography"/>
      </w:pPr>
      <w:r>
        <w:t xml:space="preserve">Gelman, A., &amp; Hill, J. (2006).</w:t>
      </w:r>
      <w:r>
        <w:t xml:space="preserve"> </w:t>
      </w:r>
      <w:r>
        <w:rPr>
          <w:i/>
          <w:iCs/>
        </w:rPr>
        <w:t xml:space="preserve">Data analysis using regression and multilevel/hierarchical models</w:t>
      </w:r>
      <w:r>
        <w:t xml:space="preserve">. Cambridge University Press.</w:t>
      </w:r>
      <w:r>
        <w:t xml:space="preserve"> </w:t>
      </w:r>
      <w:hyperlink r:id="rId73">
        <w:r>
          <w:rPr>
            <w:rStyle w:val="Hyperlink"/>
          </w:rPr>
          <w:t xml:space="preserve">https://doi.org/10.1017/CBO9780511790942</w:t>
        </w:r>
      </w:hyperlink>
    </w:p>
    <w:bookmarkEnd w:id="74"/>
    <w:bookmarkStart w:id="76" w:name="ref-hajcak2020significance"/>
    <w:p>
      <w:pPr>
        <w:pStyle w:val="Bibliography"/>
      </w:pPr>
      <w:r>
        <w:t xml:space="preserve">Hajcak, G., &amp; Foti, D. (2020). Significance?...</w:t>
      </w:r>
      <w:r>
        <w:t xml:space="preserve"> </w:t>
      </w:r>
      <w:r>
        <w:t xml:space="preserve">Significance</w:t>
      </w:r>
      <w:r>
        <w:t xml:space="preserve">!</w:t>
      </w:r>
      <w:r>
        <w:t xml:space="preserve"> </w:t>
      </w:r>
      <w:r>
        <w:t xml:space="preserve">Empirical</w:t>
      </w:r>
      <w:r>
        <w:t xml:space="preserve">, methodological, and theoretical connections between the late positive potential and</w:t>
      </w:r>
      <w:r>
        <w:t xml:space="preserve"> </w:t>
      </w:r>
      <w:r>
        <w:t xml:space="preserve">P300</w:t>
      </w:r>
      <w:r>
        <w:t xml:space="preserve"> </w:t>
      </w:r>
      <w:r>
        <w:t xml:space="preserve">as neural responses to stimulus significance: An integrative review.</w:t>
      </w:r>
      <w:r>
        <w:t xml:space="preserve"> </w:t>
      </w:r>
      <w:r>
        <w:rPr>
          <w:i/>
          <w:iCs/>
        </w:rPr>
        <w:t xml:space="preserve">Psychophysiology</w:t>
      </w:r>
      <w:r>
        <w:t xml:space="preserve">,</w:t>
      </w:r>
      <w:r>
        <w:t xml:space="preserve"> </w:t>
      </w:r>
      <w:r>
        <w:rPr>
          <w:i/>
          <w:iCs/>
        </w:rPr>
        <w:t xml:space="preserve">57</w:t>
      </w:r>
      <w:r>
        <w:t xml:space="preserve">(7), e13570.</w:t>
      </w:r>
      <w:r>
        <w:t xml:space="preserve"> </w:t>
      </w:r>
      <w:hyperlink r:id="rId75">
        <w:r>
          <w:rPr>
            <w:rStyle w:val="Hyperlink"/>
          </w:rPr>
          <w:t xml:space="preserve">https://doi.org/10.1111/psyp.13570</w:t>
        </w:r>
      </w:hyperlink>
    </w:p>
    <w:bookmarkEnd w:id="76"/>
    <w:bookmarkStart w:id="78" w:name="ref-hajcak2010event"/>
    <w:p>
      <w:pPr>
        <w:pStyle w:val="Bibliography"/>
      </w:pPr>
      <w:r>
        <w:t xml:space="preserve">Hajcak, G., MacNamara, A., &amp; Olvet, D. M. (2010). Event-related potentials, emotion, and emotion regulation: An integrative review.</w:t>
      </w:r>
      <w:r>
        <w:t xml:space="preserve"> </w:t>
      </w:r>
      <w:r>
        <w:rPr>
          <w:i/>
          <w:iCs/>
        </w:rPr>
        <w:t xml:space="preserve">Developmental Neuropsychology</w:t>
      </w:r>
      <w:r>
        <w:t xml:space="preserve">,</w:t>
      </w:r>
      <w:r>
        <w:t xml:space="preserve"> </w:t>
      </w:r>
      <w:r>
        <w:rPr>
          <w:i/>
          <w:iCs/>
        </w:rPr>
        <w:t xml:space="preserve">35</w:t>
      </w:r>
      <w:r>
        <w:t xml:space="preserve">(2), 129–155.</w:t>
      </w:r>
      <w:r>
        <w:t xml:space="preserve"> </w:t>
      </w:r>
      <w:hyperlink r:id="rId77">
        <w:r>
          <w:rPr>
            <w:rStyle w:val="Hyperlink"/>
          </w:rPr>
          <w:t xml:space="preserve">https://doi.org/10.1080/87565640903526504</w:t>
        </w:r>
      </w:hyperlink>
    </w:p>
    <w:bookmarkEnd w:id="78"/>
    <w:bookmarkStart w:id="80" w:name="ref-healey2016four"/>
    <w:p>
      <w:pPr>
        <w:pStyle w:val="Bibliography"/>
      </w:pPr>
      <w:r>
        <w:t xml:space="preserve">Healey, M. K., &amp; Kahana, M. J. (2016). A four-component model of age-related memory change.</w:t>
      </w:r>
      <w:r>
        <w:t xml:space="preserve"> </w:t>
      </w:r>
      <w:r>
        <w:rPr>
          <w:i/>
          <w:iCs/>
        </w:rPr>
        <w:t xml:space="preserve">Psychological Review</w:t>
      </w:r>
      <w:r>
        <w:t xml:space="preserve">,</w:t>
      </w:r>
      <w:r>
        <w:t xml:space="preserve"> </w:t>
      </w:r>
      <w:r>
        <w:rPr>
          <w:i/>
          <w:iCs/>
        </w:rPr>
        <w:t xml:space="preserve">123</w:t>
      </w:r>
      <w:r>
        <w:t xml:space="preserve">(1), 23–69.</w:t>
      </w:r>
      <w:r>
        <w:t xml:space="preserve"> </w:t>
      </w:r>
      <w:hyperlink r:id="rId79">
        <w:r>
          <w:rPr>
            <w:rStyle w:val="Hyperlink"/>
          </w:rPr>
          <w:t xml:space="preserve">https://doi.org/10.1037/rev0000015</w:t>
        </w:r>
      </w:hyperlink>
    </w:p>
    <w:bookmarkEnd w:id="80"/>
    <w:bookmarkStart w:id="82" w:name="ref-healey2019contiguity"/>
    <w:p>
      <w:pPr>
        <w:pStyle w:val="Bibliography"/>
      </w:pPr>
      <w:r>
        <w:t xml:space="preserve">Healey, M. K., Long, N. M., &amp; Kahana, M. J. (2019). Contiguity in episodic memory.</w:t>
      </w:r>
      <w:r>
        <w:t xml:space="preserve"> </w:t>
      </w:r>
      <w:r>
        <w:rPr>
          <w:i/>
          <w:iCs/>
        </w:rPr>
        <w:t xml:space="preserve">Psychonomic Bulletin &amp; Review</w:t>
      </w:r>
      <w:r>
        <w:t xml:space="preserve">,</w:t>
      </w:r>
      <w:r>
        <w:t xml:space="preserve"> </w:t>
      </w:r>
      <w:r>
        <w:rPr>
          <w:i/>
          <w:iCs/>
        </w:rPr>
        <w:t xml:space="preserve">26</w:t>
      </w:r>
      <w:r>
        <w:t xml:space="preserve">(3), 699–720.</w:t>
      </w:r>
      <w:r>
        <w:t xml:space="preserve"> </w:t>
      </w:r>
      <w:hyperlink r:id="rId81">
        <w:r>
          <w:rPr>
            <w:rStyle w:val="Hyperlink"/>
          </w:rPr>
          <w:t xml:space="preserve">https://doi.org/10.3758/s13423-018-1537-3</w:t>
        </w:r>
      </w:hyperlink>
    </w:p>
    <w:bookmarkEnd w:id="82"/>
    <w:bookmarkStart w:id="84" w:name="ref-hellerstedt2023can"/>
    <w:p>
      <w:pPr>
        <w:pStyle w:val="Bibliography"/>
      </w:pPr>
      <w:r>
        <w:t xml:space="preserve">Hellerstedt, R., Bekinschtein, T., &amp; Talmi, D. (2023). Can neural correlates of encoding explain the context dependence of reward-enhanced memory?</w:t>
      </w:r>
      <w:r>
        <w:t xml:space="preserve"> </w:t>
      </w:r>
      <w:r>
        <w:rPr>
          <w:i/>
          <w:iCs/>
        </w:rPr>
        <w:t xml:space="preserve">Psychophysiology</w:t>
      </w:r>
      <w:r>
        <w:t xml:space="preserve">,</w:t>
      </w:r>
      <w:r>
        <w:t xml:space="preserve"> </w:t>
      </w:r>
      <w:r>
        <w:rPr>
          <w:i/>
          <w:iCs/>
        </w:rPr>
        <w:t xml:space="preserve">60</w:t>
      </w:r>
      <w:r>
        <w:t xml:space="preserve">(9), e14322.</w:t>
      </w:r>
      <w:r>
        <w:t xml:space="preserve"> </w:t>
      </w:r>
      <w:hyperlink r:id="rId83">
        <w:r>
          <w:rPr>
            <w:rStyle w:val="Hyperlink"/>
          </w:rPr>
          <w:t xml:space="preserve">https://doi.org/10.1111/psyp.14322</w:t>
        </w:r>
      </w:hyperlink>
    </w:p>
    <w:bookmarkEnd w:id="84"/>
    <w:bookmarkStart w:id="86" w:name="ref-howard2002distributed"/>
    <w:p>
      <w:pPr>
        <w:pStyle w:val="Bibliography"/>
      </w:pPr>
      <w:r>
        <w:t xml:space="preserve">Howard, M. W., &amp; Kahana, M. J. (2002). A distributed representation of temporal context.</w:t>
      </w:r>
      <w:r>
        <w:t xml:space="preserve"> </w:t>
      </w:r>
      <w:r>
        <w:rPr>
          <w:i/>
          <w:iCs/>
        </w:rPr>
        <w:t xml:space="preserve">Journal of Mathematical Psychology</w:t>
      </w:r>
      <w:r>
        <w:t xml:space="preserve">,</w:t>
      </w:r>
      <w:r>
        <w:t xml:space="preserve"> </w:t>
      </w:r>
      <w:r>
        <w:rPr>
          <w:i/>
          <w:iCs/>
        </w:rPr>
        <w:t xml:space="preserve">46</w:t>
      </w:r>
      <w:r>
        <w:t xml:space="preserve">(3), 269–299.</w:t>
      </w:r>
      <w:r>
        <w:t xml:space="preserve"> </w:t>
      </w:r>
      <w:hyperlink r:id="rId85">
        <w:r>
          <w:rPr>
            <w:rStyle w:val="Hyperlink"/>
          </w:rPr>
          <w:t xml:space="preserve">https://doi.org/10.1006/jmps.2001.1388</w:t>
        </w:r>
      </w:hyperlink>
    </w:p>
    <w:bookmarkEnd w:id="86"/>
    <w:bookmarkStart w:id="88" w:name="ref-kragel2021distinct"/>
    <w:p>
      <w:pPr>
        <w:pStyle w:val="Bibliography"/>
      </w:pPr>
      <w:r>
        <w:t xml:space="preserve">Kragel, J. E., Ezzyat, Y., Lega, B. C., Sperling, M. R., Worrell, G. A., Gross, R. E., Jobst, B. C., Sheth, S. A., Zaghloul, K. A., Stein, J. M., &amp; Kahana, M. J. (2021). Distinct cortical systems reinstate the content and context of episodic memories.</w:t>
      </w:r>
      <w:r>
        <w:t xml:space="preserve"> </w:t>
      </w:r>
      <w:r>
        <w:rPr>
          <w:i/>
          <w:iCs/>
        </w:rPr>
        <w:t xml:space="preserve">Nature Communications</w:t>
      </w:r>
      <w:r>
        <w:t xml:space="preserve">,</w:t>
      </w:r>
      <w:r>
        <w:t xml:space="preserve"> </w:t>
      </w:r>
      <w:r>
        <w:rPr>
          <w:i/>
          <w:iCs/>
        </w:rPr>
        <w:t xml:space="preserve">12</w:t>
      </w:r>
      <w:r>
        <w:t xml:space="preserve">, 4444.</w:t>
      </w:r>
      <w:r>
        <w:t xml:space="preserve"> </w:t>
      </w:r>
      <w:hyperlink r:id="rId87">
        <w:r>
          <w:rPr>
            <w:rStyle w:val="Hyperlink"/>
          </w:rPr>
          <w:t xml:space="preserve">https://doi.org/10.1038/s41467-021-24393-1</w:t>
        </w:r>
      </w:hyperlink>
    </w:p>
    <w:bookmarkEnd w:id="88"/>
    <w:bookmarkStart w:id="89" w:name="ref-lang2005international"/>
    <w:p>
      <w:pPr>
        <w:pStyle w:val="Bibliography"/>
      </w:pPr>
      <w:r>
        <w:t xml:space="preserve">Lang, P. J., Bradley, M. M., &amp; Cuthbert, B. N. (2005).</w:t>
      </w:r>
      <w:r>
        <w:t xml:space="preserve"> </w:t>
      </w:r>
      <w:r>
        <w:rPr>
          <w:i/>
          <w:iCs/>
        </w:rPr>
        <w:t xml:space="preserve">International affective picture system (</w:t>
      </w:r>
      <w:r>
        <w:rPr>
          <w:i/>
          <w:iCs/>
        </w:rPr>
        <w:t xml:space="preserve">IAPS</w:t>
      </w:r>
      <w:r>
        <w:rPr>
          <w:i/>
          <w:iCs/>
        </w:rPr>
        <w:t xml:space="preserve">): Affective ratings of pictures and instruction manual</w:t>
      </w:r>
      <w:r>
        <w:t xml:space="preserve">. University of Florida.</w:t>
      </w:r>
    </w:p>
    <w:bookmarkEnd w:id="89"/>
    <w:bookmarkStart w:id="91" w:name="ref-lenth2024emmeans"/>
    <w:p>
      <w:pPr>
        <w:pStyle w:val="Bibliography"/>
      </w:pPr>
      <w:r>
        <w:t xml:space="preserve">Lenth, R. V. (2024).</w:t>
      </w:r>
      <w:r>
        <w:t xml:space="preserve"> </w:t>
      </w:r>
      <w:r>
        <w:rPr>
          <w:i/>
          <w:iCs/>
        </w:rPr>
        <w:t xml:space="preserve">Emmeans: Estimated marginal means, aka least-squares means</w:t>
      </w:r>
      <w:r>
        <w:t xml:space="preserve">.</w:t>
      </w:r>
      <w:r>
        <w:t xml:space="preserve"> </w:t>
      </w:r>
      <w:hyperlink r:id="rId90">
        <w:r>
          <w:rPr>
            <w:rStyle w:val="Hyperlink"/>
          </w:rPr>
          <w:t xml:space="preserve">https://CRAN.R-project.org/package=emmeans</w:t>
        </w:r>
      </w:hyperlink>
    </w:p>
    <w:bookmarkEnd w:id="91"/>
    <w:bookmarkStart w:id="93" w:name="ref-lohnas2021role"/>
    <w:p>
      <w:pPr>
        <w:pStyle w:val="Bibliography"/>
      </w:pPr>
      <w:r>
        <w:t xml:space="preserve">Lohnas, L. J., &amp; Healey, M. K. (2021). The role of context in episodic memory: Behavior and neurophysiology. In</w:t>
      </w:r>
      <w:r>
        <w:t xml:space="preserve"> </w:t>
      </w:r>
      <w:r>
        <w:rPr>
          <w:i/>
          <w:iCs/>
        </w:rPr>
        <w:t xml:space="preserve">Psychology of learning and motivation</w:t>
      </w:r>
      <w:r>
        <w:t xml:space="preserve"> </w:t>
      </w:r>
      <w:r>
        <w:t xml:space="preserve">(Vol. 75, pp. 157–199). Elsevier.</w:t>
      </w:r>
      <w:r>
        <w:t xml:space="preserve"> </w:t>
      </w:r>
      <w:hyperlink r:id="rId92">
        <w:r>
          <w:rPr>
            <w:rStyle w:val="Hyperlink"/>
          </w:rPr>
          <w:t xml:space="preserve">https://doi.org/10.1016/bs.plm.2021.06.003</w:t>
        </w:r>
      </w:hyperlink>
    </w:p>
    <w:bookmarkEnd w:id="93"/>
    <w:bookmarkStart w:id="95" w:name="ref-lohnas2015expanding"/>
    <w:p>
      <w:pPr>
        <w:pStyle w:val="Bibliography"/>
      </w:pPr>
      <w:r>
        <w:t xml:space="preserve">Lohnas, L. J., Polyn, S. M., &amp; Kahana, M. J. (2015). Expanding the scope of memory search: Modeling intralist and interlist effects in free recall.</w:t>
      </w:r>
      <w:r>
        <w:t xml:space="preserve"> </w:t>
      </w:r>
      <w:r>
        <w:rPr>
          <w:i/>
          <w:iCs/>
        </w:rPr>
        <w:t xml:space="preserve">Psychological Review</w:t>
      </w:r>
      <w:r>
        <w:t xml:space="preserve">,</w:t>
      </w:r>
      <w:r>
        <w:t xml:space="preserve"> </w:t>
      </w:r>
      <w:r>
        <w:rPr>
          <w:i/>
          <w:iCs/>
        </w:rPr>
        <w:t xml:space="preserve">122</w:t>
      </w:r>
      <w:r>
        <w:t xml:space="preserve">(2), 337–363.</w:t>
      </w:r>
      <w:r>
        <w:t xml:space="preserve"> </w:t>
      </w:r>
      <w:hyperlink r:id="rId94">
        <w:r>
          <w:rPr>
            <w:rStyle w:val="Hyperlink"/>
          </w:rPr>
          <w:t xml:space="preserve">https://doi.org/10.1037/a0039036</w:t>
        </w:r>
      </w:hyperlink>
    </w:p>
    <w:bookmarkEnd w:id="95"/>
    <w:bookmarkStart w:id="97" w:name="ref-mackay2004emotion"/>
    <w:p>
      <w:pPr>
        <w:pStyle w:val="Bibliography"/>
      </w:pPr>
      <w:r>
        <w:t xml:space="preserve">MacKay, D. G., Shafto, M., Taylor, J. K., Marian, D. E., Abrams, L., &amp; Dyer, J. R. (2004). Relations between emotion, memory, and attention: Evidence from taboo</w:t>
      </w:r>
      <w:r>
        <w:t xml:space="preserve"> </w:t>
      </w:r>
      <w:r>
        <w:t xml:space="preserve">Stroop</w:t>
      </w:r>
      <w:r>
        <w:t xml:space="preserve">, lexical decision, and immediate memory tasks.</w:t>
      </w:r>
      <w:r>
        <w:t xml:space="preserve"> </w:t>
      </w:r>
      <w:r>
        <w:rPr>
          <w:i/>
          <w:iCs/>
        </w:rPr>
        <w:t xml:space="preserve">Memory &amp; Cognition</w:t>
      </w:r>
      <w:r>
        <w:t xml:space="preserve">,</w:t>
      </w:r>
      <w:r>
        <w:t xml:space="preserve"> </w:t>
      </w:r>
      <w:r>
        <w:rPr>
          <w:i/>
          <w:iCs/>
        </w:rPr>
        <w:t xml:space="preserve">32</w:t>
      </w:r>
      <w:r>
        <w:t xml:space="preserve">(3), 474–488.</w:t>
      </w:r>
      <w:r>
        <w:t xml:space="preserve"> </w:t>
      </w:r>
      <w:hyperlink r:id="rId96">
        <w:r>
          <w:rPr>
            <w:rStyle w:val="Hyperlink"/>
          </w:rPr>
          <w:t xml:space="preserve">https://doi.org/10.3758/BF03195840</w:t>
        </w:r>
      </w:hyperlink>
    </w:p>
    <w:bookmarkEnd w:id="97"/>
    <w:bookmarkStart w:id="99" w:name="ref-macleod2017left"/>
    <w:p>
      <w:pPr>
        <w:pStyle w:val="Bibliography"/>
      </w:pPr>
      <w:r>
        <w:t xml:space="preserve">MacLeod, C. A., &amp; Donaldson, D. I. (2017). Investigating the functional utility of the left parietal</w:t>
      </w:r>
      <w:r>
        <w:t xml:space="preserve"> </w:t>
      </w:r>
      <w:r>
        <w:t xml:space="preserve">ERP</w:t>
      </w:r>
      <w:r>
        <w:t xml:space="preserve"> </w:t>
      </w:r>
      <w:r>
        <w:t xml:space="preserve">old/new effect: Brain activity predicts within but not between participant variance in episodic recollection.</w:t>
      </w:r>
      <w:r>
        <w:t xml:space="preserve"> </w:t>
      </w:r>
      <w:r>
        <w:rPr>
          <w:i/>
          <w:iCs/>
        </w:rPr>
        <w:t xml:space="preserve">Frontiers in Human Neuroscience</w:t>
      </w:r>
      <w:r>
        <w:t xml:space="preserve">,</w:t>
      </w:r>
      <w:r>
        <w:t xml:space="preserve"> </w:t>
      </w:r>
      <w:r>
        <w:rPr>
          <w:i/>
          <w:iCs/>
        </w:rPr>
        <w:t xml:space="preserve">11</w:t>
      </w:r>
      <w:r>
        <w:t xml:space="preserve">, 580.</w:t>
      </w:r>
      <w:r>
        <w:t xml:space="preserve"> </w:t>
      </w:r>
      <w:hyperlink r:id="rId98">
        <w:r>
          <w:rPr>
            <w:rStyle w:val="Hyperlink"/>
          </w:rPr>
          <w:t xml:space="preserve">https://doi.org/10.3389/fnhum.2017.00580</w:t>
        </w:r>
      </w:hyperlink>
    </w:p>
    <w:bookmarkEnd w:id="99"/>
    <w:bookmarkStart w:id="101" w:name="ref-manning2011oscillatory"/>
    <w:p>
      <w:pPr>
        <w:pStyle w:val="Bibliography"/>
      </w:pPr>
      <w:r>
        <w:t xml:space="preserve">Manning, J. R., Polyn, S. M., Baltuch, G. H., Litt, B., &amp; Kahana, M. J. (2011). Oscillatory patterns in temporal lobe reveal context reinstatement during memory search.</w:t>
      </w:r>
      <w:r>
        <w:t xml:space="preserve"> </w:t>
      </w:r>
      <w:r>
        <w:rPr>
          <w:i/>
          <w:iCs/>
        </w:rPr>
        <w:t xml:space="preserve">Proceedings of the National Academy of Sciences</w:t>
      </w:r>
      <w:r>
        <w:t xml:space="preserve">,</w:t>
      </w:r>
      <w:r>
        <w:t xml:space="preserve"> </w:t>
      </w:r>
      <w:r>
        <w:rPr>
          <w:i/>
          <w:iCs/>
        </w:rPr>
        <w:t xml:space="preserve">108</w:t>
      </w:r>
      <w:r>
        <w:t xml:space="preserve">(31), 12893–12897.</w:t>
      </w:r>
      <w:r>
        <w:t xml:space="preserve"> </w:t>
      </w:r>
      <w:hyperlink r:id="rId100">
        <w:r>
          <w:rPr>
            <w:rStyle w:val="Hyperlink"/>
          </w:rPr>
          <w:t xml:space="preserve">https://doi.org/10.1073/pnas.1015174108</w:t>
        </w:r>
      </w:hyperlink>
    </w:p>
    <w:bookmarkEnd w:id="101"/>
    <w:bookmarkStart w:id="103" w:name="ref-maris2007nonparametric"/>
    <w:p>
      <w:pPr>
        <w:pStyle w:val="Bibliography"/>
      </w:pPr>
      <w:r>
        <w:t xml:space="preserve">Maris, E., &amp; Oostenveld, R. (2007). Nonparametric statistical testing of</w:t>
      </w:r>
      <w:r>
        <w:t xml:space="preserve"> </w:t>
      </w:r>
      <w:r>
        <w:t xml:space="preserve">EEG</w:t>
      </w:r>
      <w:r>
        <w:t xml:space="preserve">- and</w:t>
      </w:r>
      <w:r>
        <w:t xml:space="preserve"> </w:t>
      </w:r>
      <w:r>
        <w:t xml:space="preserve">MEG</w:t>
      </w:r>
      <w:r>
        <w:t xml:space="preserve">-data.</w:t>
      </w:r>
      <w:r>
        <w:t xml:space="preserve"> </w:t>
      </w:r>
      <w:r>
        <w:rPr>
          <w:i/>
          <w:iCs/>
        </w:rPr>
        <w:t xml:space="preserve">Journal of Neuroscience Methods</w:t>
      </w:r>
      <w:r>
        <w:t xml:space="preserve">,</w:t>
      </w:r>
      <w:r>
        <w:t xml:space="preserve"> </w:t>
      </w:r>
      <w:r>
        <w:rPr>
          <w:i/>
          <w:iCs/>
        </w:rPr>
        <w:t xml:space="preserve">164</w:t>
      </w:r>
      <w:r>
        <w:t xml:space="preserve">(1), 177–190.</w:t>
      </w:r>
      <w:r>
        <w:t xml:space="preserve"> </w:t>
      </w:r>
      <w:hyperlink r:id="rId102">
        <w:r>
          <w:rPr>
            <w:rStyle w:val="Hyperlink"/>
          </w:rPr>
          <w:t xml:space="preserve">https://doi.org/10.1016/j.jneumeth.2007.03.024</w:t>
        </w:r>
      </w:hyperlink>
    </w:p>
    <w:bookmarkEnd w:id="103"/>
    <w:bookmarkStart w:id="105" w:name="ref-mather2011arousal"/>
    <w:p>
      <w:pPr>
        <w:pStyle w:val="Bibliography"/>
      </w:pPr>
      <w:r>
        <w:t xml:space="preserve">Mather, M., &amp; Sutherland, M. R. (2011). Arousal-biased competition in perception and memory.</w:t>
      </w:r>
      <w:r>
        <w:t xml:space="preserve"> </w:t>
      </w:r>
      <w:r>
        <w:rPr>
          <w:i/>
          <w:iCs/>
        </w:rPr>
        <w:t xml:space="preserve">Perspectives on Psychological Science</w:t>
      </w:r>
      <w:r>
        <w:t xml:space="preserve">,</w:t>
      </w:r>
      <w:r>
        <w:t xml:space="preserve"> </w:t>
      </w:r>
      <w:r>
        <w:rPr>
          <w:i/>
          <w:iCs/>
        </w:rPr>
        <w:t xml:space="preserve">6</w:t>
      </w:r>
      <w:r>
        <w:t xml:space="preserve">(2), 114–133.</w:t>
      </w:r>
      <w:r>
        <w:t xml:space="preserve"> </w:t>
      </w:r>
      <w:hyperlink r:id="rId104">
        <w:r>
          <w:rPr>
            <w:rStyle w:val="Hyperlink"/>
          </w:rPr>
          <w:t xml:space="preserve">https://doi.org/10.1177/1745691611400234</w:t>
        </w:r>
      </w:hyperlink>
    </w:p>
    <w:bookmarkEnd w:id="105"/>
    <w:bookmarkStart w:id="107" w:name="ref-moran2013psychometric"/>
    <w:p>
      <w:pPr>
        <w:pStyle w:val="Bibliography"/>
      </w:pPr>
      <w:r>
        <w:t xml:space="preserve">Moran, T. P., Jendrusina, A. A., &amp; Moser, J. S. (2013). The psychometric properties of the late positive potential during emotion processing and regulation.</w:t>
      </w:r>
      <w:r>
        <w:t xml:space="preserve"> </w:t>
      </w:r>
      <w:r>
        <w:rPr>
          <w:i/>
          <w:iCs/>
        </w:rPr>
        <w:t xml:space="preserve">Brain Research</w:t>
      </w:r>
      <w:r>
        <w:t xml:space="preserve">,</w:t>
      </w:r>
      <w:r>
        <w:t xml:space="preserve"> </w:t>
      </w:r>
      <w:r>
        <w:rPr>
          <w:i/>
          <w:iCs/>
        </w:rPr>
        <w:t xml:space="preserve">1516</w:t>
      </w:r>
      <w:r>
        <w:t xml:space="preserve">, 66–75.</w:t>
      </w:r>
      <w:r>
        <w:t xml:space="preserve"> </w:t>
      </w:r>
      <w:hyperlink r:id="rId106">
        <w:r>
          <w:rPr>
            <w:rStyle w:val="Hyperlink"/>
          </w:rPr>
          <w:t xml:space="preserve">https://doi.org/10.1016/j.brainres.2013.04.018</w:t>
        </w:r>
      </w:hyperlink>
    </w:p>
    <w:bookmarkEnd w:id="107"/>
    <w:bookmarkStart w:id="109" w:name="ref-morton2016predictive"/>
    <w:p>
      <w:pPr>
        <w:pStyle w:val="Bibliography"/>
      </w:pPr>
      <w:r>
        <w:t xml:space="preserve">Morton, N. W., &amp; Polyn, S. M. (2016). A predictive framework for evaluating models of semantic organization in free recall.</w:t>
      </w:r>
      <w:r>
        <w:t xml:space="preserve"> </w:t>
      </w:r>
      <w:r>
        <w:rPr>
          <w:i/>
          <w:iCs/>
        </w:rPr>
        <w:t xml:space="preserve">Journal of Memory and Language</w:t>
      </w:r>
      <w:r>
        <w:t xml:space="preserve">,</w:t>
      </w:r>
      <w:r>
        <w:t xml:space="preserve"> </w:t>
      </w:r>
      <w:r>
        <w:rPr>
          <w:i/>
          <w:iCs/>
        </w:rPr>
        <w:t xml:space="preserve">86</w:t>
      </w:r>
      <w:r>
        <w:t xml:space="preserve">, 119–140.</w:t>
      </w:r>
      <w:r>
        <w:t xml:space="preserve"> </w:t>
      </w:r>
      <w:hyperlink r:id="rId108">
        <w:r>
          <w:rPr>
            <w:rStyle w:val="Hyperlink"/>
          </w:rPr>
          <w:t xml:space="preserve">https://doi.org/10.1016/j.jml.2015.10.002</w:t>
        </w:r>
      </w:hyperlink>
    </w:p>
    <w:bookmarkEnd w:id="109"/>
    <w:bookmarkStart w:id="111" w:name="ref-nolan2010faster"/>
    <w:p>
      <w:pPr>
        <w:pStyle w:val="Bibliography"/>
      </w:pPr>
      <w:r>
        <w:t xml:space="preserve">Nolan, H., Whelan, R., &amp; Reilly, R. B. (2010).</w:t>
      </w:r>
      <w:r>
        <w:t xml:space="preserve"> </w:t>
      </w:r>
      <w:r>
        <w:t xml:space="preserve">FASTER</w:t>
      </w:r>
      <w:r>
        <w:t xml:space="preserve">: Fully automated statistical thresholding for</w:t>
      </w:r>
      <w:r>
        <w:t xml:space="preserve"> </w:t>
      </w:r>
      <w:r>
        <w:t xml:space="preserve">EEG</w:t>
      </w:r>
      <w:r>
        <w:t xml:space="preserve"> </w:t>
      </w:r>
      <w:r>
        <w:t xml:space="preserve">artifact rejection.</w:t>
      </w:r>
      <w:r>
        <w:t xml:space="preserve"> </w:t>
      </w:r>
      <w:r>
        <w:rPr>
          <w:i/>
          <w:iCs/>
        </w:rPr>
        <w:t xml:space="preserve">Journal of Neuroscience Methods</w:t>
      </w:r>
      <w:r>
        <w:t xml:space="preserve">,</w:t>
      </w:r>
      <w:r>
        <w:t xml:space="preserve"> </w:t>
      </w:r>
      <w:r>
        <w:rPr>
          <w:i/>
          <w:iCs/>
        </w:rPr>
        <w:t xml:space="preserve">192</w:t>
      </w:r>
      <w:r>
        <w:t xml:space="preserve">(1), 152–162.</w:t>
      </w:r>
      <w:r>
        <w:t xml:space="preserve"> </w:t>
      </w:r>
      <w:hyperlink r:id="rId110">
        <w:r>
          <w:rPr>
            <w:rStyle w:val="Hyperlink"/>
          </w:rPr>
          <w:t xml:space="preserve">https://doi.org/10.1016/j.jneumeth.2010.07.015</w:t>
        </w:r>
      </w:hyperlink>
    </w:p>
    <w:bookmarkEnd w:id="111"/>
    <w:bookmarkStart w:id="113" w:name="ref-olofsson2008affective"/>
    <w:p>
      <w:pPr>
        <w:pStyle w:val="Bibliography"/>
      </w:pPr>
      <w:r>
        <w:t xml:space="preserve">Olofsson, J. K., Nordin, S., Sequeira, H., &amp; Polich, J. (2008). Affective picture processing: An integrative review of</w:t>
      </w:r>
      <w:r>
        <w:t xml:space="preserve"> </w:t>
      </w:r>
      <w:r>
        <w:t xml:space="preserve">ERP</w:t>
      </w:r>
      <w:r>
        <w:t xml:space="preserve"> </w:t>
      </w:r>
      <w:r>
        <w:t xml:space="preserve">findings.</w:t>
      </w:r>
      <w:r>
        <w:t xml:space="preserve"> </w:t>
      </w:r>
      <w:r>
        <w:rPr>
          <w:i/>
          <w:iCs/>
        </w:rPr>
        <w:t xml:space="preserve">Biological Psychology</w:t>
      </w:r>
      <w:r>
        <w:t xml:space="preserve">,</w:t>
      </w:r>
      <w:r>
        <w:t xml:space="preserve"> </w:t>
      </w:r>
      <w:r>
        <w:rPr>
          <w:i/>
          <w:iCs/>
        </w:rPr>
        <w:t xml:space="preserve">77</w:t>
      </w:r>
      <w:r>
        <w:t xml:space="preserve">(3), 247–265.</w:t>
      </w:r>
      <w:r>
        <w:t xml:space="preserve"> </w:t>
      </w:r>
      <w:hyperlink r:id="rId112">
        <w:r>
          <w:rPr>
            <w:rStyle w:val="Hyperlink"/>
          </w:rPr>
          <w:t xml:space="preserve">https://doi.org/10.1016/j.biopsycho.2007.11.006</w:t>
        </w:r>
      </w:hyperlink>
    </w:p>
    <w:bookmarkEnd w:id="113"/>
    <w:bookmarkStart w:id="115" w:name="ref-oostenveld2011fieldtrip"/>
    <w:p>
      <w:pPr>
        <w:pStyle w:val="Bibliography"/>
      </w:pPr>
      <w:r>
        <w:t xml:space="preserve">Oostenveld, R., Fries, P., Maris, E., &amp; Schoffelen, J.-M. (2011).</w:t>
      </w:r>
      <w:r>
        <w:t xml:space="preserve"> </w:t>
      </w:r>
      <w:r>
        <w:t xml:space="preserve">FieldTrip</w:t>
      </w:r>
      <w:r>
        <w:t xml:space="preserve">: Open source software for advanced analysis of</w:t>
      </w:r>
      <w:r>
        <w:t xml:space="preserve"> </w:t>
      </w:r>
      <w:r>
        <w:t xml:space="preserve">MEG</w:t>
      </w:r>
      <w:r>
        <w:t xml:space="preserve">,</w:t>
      </w:r>
      <w:r>
        <w:t xml:space="preserve"> </w:t>
      </w:r>
      <w:r>
        <w:t xml:space="preserve">EEG</w:t>
      </w:r>
      <w:r>
        <w:t xml:space="preserve">, and invasive electrophysiological data.</w:t>
      </w:r>
      <w:r>
        <w:t xml:space="preserve"> </w:t>
      </w:r>
      <w:r>
        <w:rPr>
          <w:i/>
          <w:iCs/>
        </w:rPr>
        <w:t xml:space="preserve">Computational Intelligence and Neuroscience</w:t>
      </w:r>
      <w:r>
        <w:t xml:space="preserve">,</w:t>
      </w:r>
      <w:r>
        <w:t xml:space="preserve"> </w:t>
      </w:r>
      <w:r>
        <w:rPr>
          <w:i/>
          <w:iCs/>
        </w:rPr>
        <w:t xml:space="preserve">2011</w:t>
      </w:r>
      <w:r>
        <w:t xml:space="preserve">, 156869.</w:t>
      </w:r>
      <w:r>
        <w:t xml:space="preserve"> </w:t>
      </w:r>
      <w:hyperlink r:id="rId114">
        <w:r>
          <w:rPr>
            <w:rStyle w:val="Hyperlink"/>
          </w:rPr>
          <w:t xml:space="preserve">https://doi.org/10.1155/2011/156869</w:t>
        </w:r>
      </w:hyperlink>
    </w:p>
    <w:bookmarkEnd w:id="115"/>
    <w:bookmarkStart w:id="117" w:name="ref-polyn2005category"/>
    <w:p>
      <w:pPr>
        <w:pStyle w:val="Bibliography"/>
      </w:pPr>
      <w:r>
        <w:t xml:space="preserve">Polyn, S. M., Natu, V. S., Cohen, J. D., &amp; Norman, K. A. (2005). Category-specific cortical activity precedes retrieval during memory search.</w:t>
      </w:r>
      <w:r>
        <w:t xml:space="preserve"> </w:t>
      </w:r>
      <w:r>
        <w:rPr>
          <w:i/>
          <w:iCs/>
        </w:rPr>
        <w:t xml:space="preserve">Science</w:t>
      </w:r>
      <w:r>
        <w:t xml:space="preserve">,</w:t>
      </w:r>
      <w:r>
        <w:t xml:space="preserve"> </w:t>
      </w:r>
      <w:r>
        <w:rPr>
          <w:i/>
          <w:iCs/>
        </w:rPr>
        <w:t xml:space="preserve">310</w:t>
      </w:r>
      <w:r>
        <w:t xml:space="preserve">(5756), 1963–1966.</w:t>
      </w:r>
      <w:r>
        <w:t xml:space="preserve"> </w:t>
      </w:r>
      <w:hyperlink r:id="rId116">
        <w:r>
          <w:rPr>
            <w:rStyle w:val="Hyperlink"/>
          </w:rPr>
          <w:t xml:space="preserve">https://doi.org/10.1126/science.1117645</w:t>
        </w:r>
      </w:hyperlink>
    </w:p>
    <w:bookmarkEnd w:id="117"/>
    <w:bookmarkStart w:id="119" w:name="ref-polyn2009context"/>
    <w:p>
      <w:pPr>
        <w:pStyle w:val="Bibliography"/>
      </w:pPr>
      <w:r>
        <w:t xml:space="preserve">Polyn, S. M., Norman, K. A., &amp; Kahana, M. J. (2009). A context maintenance and retrieval model of organizational processes in free recall.</w:t>
      </w:r>
      <w:r>
        <w:t xml:space="preserve"> </w:t>
      </w:r>
      <w:r>
        <w:rPr>
          <w:i/>
          <w:iCs/>
        </w:rPr>
        <w:t xml:space="preserve">Psychological Review</w:t>
      </w:r>
      <w:r>
        <w:t xml:space="preserve">,</w:t>
      </w:r>
      <w:r>
        <w:t xml:space="preserve"> </w:t>
      </w:r>
      <w:r>
        <w:rPr>
          <w:i/>
          <w:iCs/>
        </w:rPr>
        <w:t xml:space="preserve">116</w:t>
      </w:r>
      <w:r>
        <w:t xml:space="preserve">(1), 129–156.</w:t>
      </w:r>
      <w:r>
        <w:t xml:space="preserve"> </w:t>
      </w:r>
      <w:hyperlink r:id="rId118">
        <w:r>
          <w:rPr>
            <w:rStyle w:val="Hyperlink"/>
          </w:rPr>
          <w:t xml:space="preserve">https://doi.org/10.1037/a0014420</w:t>
        </w:r>
      </w:hyperlink>
    </w:p>
    <w:bookmarkEnd w:id="119"/>
    <w:bookmarkStart w:id="121" w:name="ref-pourtois2013brain"/>
    <w:p>
      <w:pPr>
        <w:pStyle w:val="Bibliography"/>
      </w:pPr>
      <w:r>
        <w:t xml:space="preserve">Pourtois, G., Schettino, A., &amp; Vuilleumier, P. (2013). Brain mechanisms for emotional influences on perception and attention: What is magic and what is not.</w:t>
      </w:r>
      <w:r>
        <w:t xml:space="preserve"> </w:t>
      </w:r>
      <w:r>
        <w:rPr>
          <w:i/>
          <w:iCs/>
        </w:rPr>
        <w:t xml:space="preserve">Biological Psychology</w:t>
      </w:r>
      <w:r>
        <w:t xml:space="preserve">,</w:t>
      </w:r>
      <w:r>
        <w:t xml:space="preserve"> </w:t>
      </w:r>
      <w:r>
        <w:rPr>
          <w:i/>
          <w:iCs/>
        </w:rPr>
        <w:t xml:space="preserve">92</w:t>
      </w:r>
      <w:r>
        <w:t xml:space="preserve">(3), 492–512.</w:t>
      </w:r>
      <w:r>
        <w:t xml:space="preserve"> </w:t>
      </w:r>
      <w:hyperlink r:id="rId120">
        <w:r>
          <w:rPr>
            <w:rStyle w:val="Hyperlink"/>
          </w:rPr>
          <w:t xml:space="preserve">https://doi.org/10.1016/j.biopsycho.2012.02.007</w:t>
        </w:r>
      </w:hyperlink>
    </w:p>
    <w:bookmarkEnd w:id="121"/>
    <w:bookmarkStart w:id="123" w:name="ref-riberto2022neural"/>
    <w:p>
      <w:pPr>
        <w:pStyle w:val="Bibliography"/>
      </w:pPr>
      <w:r>
        <w:t xml:space="preserve">Riberto, M., Paz, R., Pobric, G., &amp; Talmi, D. (2022). The neural representations of emotional experiences are more similar than those of neutral experiences.</w:t>
      </w:r>
      <w:r>
        <w:t xml:space="preserve"> </w:t>
      </w:r>
      <w:r>
        <w:rPr>
          <w:i/>
          <w:iCs/>
        </w:rPr>
        <w:t xml:space="preserve">The Journal of Neuroscience</w:t>
      </w:r>
      <w:r>
        <w:t xml:space="preserve">,</w:t>
      </w:r>
      <w:r>
        <w:t xml:space="preserve"> </w:t>
      </w:r>
      <w:r>
        <w:rPr>
          <w:i/>
          <w:iCs/>
        </w:rPr>
        <w:t xml:space="preserve">42</w:t>
      </w:r>
      <w:r>
        <w:t xml:space="preserve">(13), 2772–2785.</w:t>
      </w:r>
      <w:r>
        <w:t xml:space="preserve"> </w:t>
      </w:r>
      <w:hyperlink r:id="rId122">
        <w:r>
          <w:rPr>
            <w:rStyle w:val="Hyperlink"/>
          </w:rPr>
          <w:t xml:space="preserve">https://doi.org/10.1523/JNEUROSCI.1490-21.2022</w:t>
        </w:r>
      </w:hyperlink>
    </w:p>
    <w:bookmarkEnd w:id="123"/>
    <w:bookmarkStart w:id="125" w:name="ref-rosenfeld2019p300"/>
    <w:p>
      <w:pPr>
        <w:pStyle w:val="Bibliography"/>
      </w:pPr>
      <w:r>
        <w:t xml:space="preserve">Rosenfeld, J. P. (2020). P300 in detecting concealed information and deception: A review.</w:t>
      </w:r>
      <w:r>
        <w:t xml:space="preserve"> </w:t>
      </w:r>
      <w:r>
        <w:rPr>
          <w:i/>
          <w:iCs/>
        </w:rPr>
        <w:t xml:space="preserve">Psychophysiology</w:t>
      </w:r>
      <w:r>
        <w:t xml:space="preserve">,</w:t>
      </w:r>
      <w:r>
        <w:t xml:space="preserve"> </w:t>
      </w:r>
      <w:r>
        <w:rPr>
          <w:i/>
          <w:iCs/>
        </w:rPr>
        <w:t xml:space="preserve">57</w:t>
      </w:r>
      <w:r>
        <w:t xml:space="preserve">(7), e13362.</w:t>
      </w:r>
      <w:r>
        <w:t xml:space="preserve"> </w:t>
      </w:r>
      <w:hyperlink r:id="rId124">
        <w:r>
          <w:rPr>
            <w:rStyle w:val="Hyperlink"/>
          </w:rPr>
          <w:t xml:space="preserve">https://doi.org/10.1111/psyp.13362</w:t>
        </w:r>
      </w:hyperlink>
    </w:p>
    <w:bookmarkEnd w:id="125"/>
    <w:bookmarkStart w:id="127" w:name="ref-sander2005systems"/>
    <w:p>
      <w:pPr>
        <w:pStyle w:val="Bibliography"/>
      </w:pPr>
      <w:r>
        <w:t xml:space="preserve">Sander, D., Grandjean, D., &amp; Scherer, K. R. (2005). A systems approach to appraisal mechanisms in emotion.</w:t>
      </w:r>
      <w:r>
        <w:t xml:space="preserve"> </w:t>
      </w:r>
      <w:r>
        <w:rPr>
          <w:i/>
          <w:iCs/>
        </w:rPr>
        <w:t xml:space="preserve">Neural Networks</w:t>
      </w:r>
      <w:r>
        <w:t xml:space="preserve">,</w:t>
      </w:r>
      <w:r>
        <w:t xml:space="preserve"> </w:t>
      </w:r>
      <w:r>
        <w:rPr>
          <w:i/>
          <w:iCs/>
        </w:rPr>
        <w:t xml:space="preserve">18</w:t>
      </w:r>
      <w:r>
        <w:t xml:space="preserve">(4), 317–352.</w:t>
      </w:r>
      <w:r>
        <w:t xml:space="preserve"> </w:t>
      </w:r>
      <w:hyperlink r:id="rId126">
        <w:r>
          <w:rPr>
            <w:rStyle w:val="Hyperlink"/>
          </w:rPr>
          <w:t xml:space="preserve">https://doi.org/10.1016/j.neunet.2005.03.001</w:t>
        </w:r>
      </w:hyperlink>
    </w:p>
    <w:bookmarkEnd w:id="127"/>
    <w:bookmarkStart w:id="129" w:name="ref-sassenhagen2019cluster"/>
    <w:p>
      <w:pPr>
        <w:pStyle w:val="Bibliography"/>
      </w:pPr>
      <w:r>
        <w:t xml:space="preserve">Sassenhagen, J., &amp; Draschkow, D. (2019). Cluster-based permutation tests of</w:t>
      </w:r>
      <w:r>
        <w:t xml:space="preserve"> </w:t>
      </w:r>
      <w:r>
        <w:t xml:space="preserve">MEG</w:t>
      </w:r>
      <w:r>
        <w:t xml:space="preserve">/</w:t>
      </w:r>
      <w:r>
        <w:t xml:space="preserve">EEG</w:t>
      </w:r>
      <w:r>
        <w:t xml:space="preserve"> </w:t>
      </w:r>
      <w:r>
        <w:t xml:space="preserve">data do not establish significance of effect latency or location.</w:t>
      </w:r>
      <w:r>
        <w:t xml:space="preserve"> </w:t>
      </w:r>
      <w:r>
        <w:rPr>
          <w:i/>
          <w:iCs/>
        </w:rPr>
        <w:t xml:space="preserve">Psychophysiology</w:t>
      </w:r>
      <w:r>
        <w:t xml:space="preserve">,</w:t>
      </w:r>
      <w:r>
        <w:t xml:space="preserve"> </w:t>
      </w:r>
      <w:r>
        <w:rPr>
          <w:i/>
          <w:iCs/>
        </w:rPr>
        <w:t xml:space="preserve">56</w:t>
      </w:r>
      <w:r>
        <w:t xml:space="preserve">(6), e13335.</w:t>
      </w:r>
      <w:r>
        <w:t xml:space="preserve"> </w:t>
      </w:r>
      <w:hyperlink r:id="rId128">
        <w:r>
          <w:rPr>
            <w:rStyle w:val="Hyperlink"/>
          </w:rPr>
          <w:t xml:space="preserve">https://doi.org/10.1111/psyp.13335</w:t>
        </w:r>
      </w:hyperlink>
    </w:p>
    <w:bookmarkEnd w:id="129"/>
    <w:bookmarkStart w:id="131" w:name="ref-schindler2020selective"/>
    <w:p>
      <w:pPr>
        <w:pStyle w:val="Bibliography"/>
      </w:pPr>
      <w:r>
        <w:t xml:space="preserve">Schindler, S., &amp; Straube, T. (2020). Selective visual attention to emotional pictures: Interactions of task-relevance and emotion are restricted to the late positive potential.</w:t>
      </w:r>
      <w:r>
        <w:t xml:space="preserve"> </w:t>
      </w:r>
      <w:r>
        <w:rPr>
          <w:i/>
          <w:iCs/>
        </w:rPr>
        <w:t xml:space="preserve">Psychophysiology</w:t>
      </w:r>
      <w:r>
        <w:t xml:space="preserve">,</w:t>
      </w:r>
      <w:r>
        <w:t xml:space="preserve"> </w:t>
      </w:r>
      <w:r>
        <w:rPr>
          <w:i/>
          <w:iCs/>
        </w:rPr>
        <w:t xml:space="preserve">57</w:t>
      </w:r>
      <w:r>
        <w:t xml:space="preserve">(9), e13585.</w:t>
      </w:r>
      <w:r>
        <w:t xml:space="preserve"> </w:t>
      </w:r>
      <w:hyperlink r:id="rId130">
        <w:r>
          <w:rPr>
            <w:rStyle w:val="Hyperlink"/>
          </w:rPr>
          <w:t xml:space="preserve">https://doi.org/10.1111/psyp.13585</w:t>
        </w:r>
      </w:hyperlink>
    </w:p>
    <w:bookmarkEnd w:id="131"/>
    <w:bookmarkStart w:id="133" w:name="ref-schupp2000affective"/>
    <w:p>
      <w:pPr>
        <w:pStyle w:val="Bibliography"/>
      </w:pPr>
      <w:r>
        <w:t xml:space="preserve">Schupp, H. T., Cuthbert, B. N., Bradley, M. M., Cacioppo, J. T., Ito, T., &amp; Lang, P. J. (2000). Affective picture processing: The late positive potential is modulated by motivational relevance.</w:t>
      </w:r>
      <w:r>
        <w:t xml:space="preserve"> </w:t>
      </w:r>
      <w:r>
        <w:rPr>
          <w:i/>
          <w:iCs/>
        </w:rPr>
        <w:t xml:space="preserve">Psychophysiology</w:t>
      </w:r>
      <w:r>
        <w:t xml:space="preserve">,</w:t>
      </w:r>
      <w:r>
        <w:t xml:space="preserve"> </w:t>
      </w:r>
      <w:r>
        <w:rPr>
          <w:i/>
          <w:iCs/>
        </w:rPr>
        <w:t xml:space="preserve">37</w:t>
      </w:r>
      <w:r>
        <w:t xml:space="preserve">(2), 257–261.</w:t>
      </w:r>
      <w:r>
        <w:t xml:space="preserve"> </w:t>
      </w:r>
      <w:hyperlink r:id="rId132">
        <w:r>
          <w:rPr>
            <w:rStyle w:val="Hyperlink"/>
          </w:rPr>
          <w:t xml:space="preserve">https://doi.org/10.1111/1469-8986.3720257</w:t>
        </w:r>
      </w:hyperlink>
    </w:p>
    <w:bookmarkEnd w:id="133"/>
    <w:bookmarkStart w:id="135" w:name="ref-schupp2006emotion"/>
    <w:p>
      <w:pPr>
        <w:pStyle w:val="Bibliography"/>
      </w:pPr>
      <w:r>
        <w:t xml:space="preserve">Schupp, H. T., Flaisch, T., Stockburger, J., &amp; Junghöfer, M. (2006). Emotion and attention: Event-related brain potential studies. In</w:t>
      </w:r>
      <w:r>
        <w:t xml:space="preserve"> </w:t>
      </w:r>
      <w:r>
        <w:rPr>
          <w:i/>
          <w:iCs/>
        </w:rPr>
        <w:t xml:space="preserve">Progress in brain research</w:t>
      </w:r>
      <w:r>
        <w:t xml:space="preserve"> </w:t>
      </w:r>
      <w:r>
        <w:t xml:space="preserve">(Vol. 156, pp. 31–51).</w:t>
      </w:r>
      <w:r>
        <w:t xml:space="preserve"> </w:t>
      </w:r>
      <w:hyperlink r:id="rId134">
        <w:r>
          <w:rPr>
            <w:rStyle w:val="Hyperlink"/>
          </w:rPr>
          <w:t xml:space="preserve">https://doi.org/10.1016/S0079-6123(06)56002-9</w:t>
        </w:r>
      </w:hyperlink>
    </w:p>
    <w:bookmarkEnd w:id="135"/>
    <w:bookmarkStart w:id="137" w:name="ref-schupp2025case"/>
    <w:p>
      <w:pPr>
        <w:pStyle w:val="Bibliography"/>
      </w:pPr>
      <w:r>
        <w:t xml:space="preserve">Schupp, H. T., Flösch, K.-P., &amp; Flaisch, T. (2025). A case-by-case analysis of</w:t>
      </w:r>
      <w:r>
        <w:t xml:space="preserve"> </w:t>
      </w:r>
      <w:r>
        <w:t xml:space="preserve">EPN</w:t>
      </w:r>
      <w:r>
        <w:t xml:space="preserve"> </w:t>
      </w:r>
      <w:r>
        <w:t xml:space="preserve">and</w:t>
      </w:r>
      <w:r>
        <w:t xml:space="preserve"> </w:t>
      </w:r>
      <w:r>
        <w:t xml:space="preserve">LPP</w:t>
      </w:r>
      <w:r>
        <w:t xml:space="preserve"> </w:t>
      </w:r>
      <w:r>
        <w:t xml:space="preserve">components within a</w:t>
      </w:r>
      <w:r>
        <w:t xml:space="preserve"> </w:t>
      </w:r>
      <w:r>
        <w:t xml:space="preserve">“one-picture-per-emotion-category”</w:t>
      </w:r>
      <w:r>
        <w:t xml:space="preserve"> </w:t>
      </w:r>
      <w:r>
        <w:t xml:space="preserve">protocol.</w:t>
      </w:r>
      <w:r>
        <w:t xml:space="preserve"> </w:t>
      </w:r>
      <w:r>
        <w:rPr>
          <w:i/>
          <w:iCs/>
        </w:rPr>
        <w:t xml:space="preserve">Psychophysiology</w:t>
      </w:r>
      <w:r>
        <w:t xml:space="preserve">,</w:t>
      </w:r>
      <w:r>
        <w:t xml:space="preserve"> </w:t>
      </w:r>
      <w:r>
        <w:rPr>
          <w:i/>
          <w:iCs/>
        </w:rPr>
        <w:t xml:space="preserve">62</w:t>
      </w:r>
      <w:r>
        <w:t xml:space="preserve">(2), e14718.</w:t>
      </w:r>
      <w:r>
        <w:t xml:space="preserve"> </w:t>
      </w:r>
      <w:hyperlink r:id="rId136">
        <w:r>
          <w:rPr>
            <w:rStyle w:val="Hyperlink"/>
          </w:rPr>
          <w:t xml:space="preserve">https://doi.org/10.1111/psyp.14718</w:t>
        </w:r>
      </w:hyperlink>
    </w:p>
    <w:bookmarkEnd w:id="137"/>
    <w:bookmarkStart w:id="139" w:name="ref-schupp2021case"/>
    <w:p>
      <w:pPr>
        <w:pStyle w:val="Bibliography"/>
      </w:pPr>
      <w:r>
        <w:t xml:space="preserve">Schupp, H. T., &amp; Kirmse, U. M. (2021). Case-by-case: Emotional stimulus significance and the modulation of the</w:t>
      </w:r>
      <w:r>
        <w:t xml:space="preserve"> </w:t>
      </w:r>
      <w:r>
        <w:t xml:space="preserve">EPN</w:t>
      </w:r>
      <w:r>
        <w:t xml:space="preserve"> </w:t>
      </w:r>
      <w:r>
        <w:t xml:space="preserve">and</w:t>
      </w:r>
      <w:r>
        <w:t xml:space="preserve"> </w:t>
      </w:r>
      <w:r>
        <w:t xml:space="preserve">LPP</w:t>
      </w:r>
      <w:r>
        <w:t xml:space="preserve">.</w:t>
      </w:r>
      <w:r>
        <w:t xml:space="preserve"> </w:t>
      </w:r>
      <w:r>
        <w:rPr>
          <w:i/>
          <w:iCs/>
        </w:rPr>
        <w:t xml:space="preserve">Psychophysiology</w:t>
      </w:r>
      <w:r>
        <w:t xml:space="preserve">,</w:t>
      </w:r>
      <w:r>
        <w:t xml:space="preserve"> </w:t>
      </w:r>
      <w:r>
        <w:rPr>
          <w:i/>
          <w:iCs/>
        </w:rPr>
        <w:t xml:space="preserve">58</w:t>
      </w:r>
      <w:r>
        <w:t xml:space="preserve">(4), e13766.</w:t>
      </w:r>
      <w:r>
        <w:t xml:space="preserve"> </w:t>
      </w:r>
      <w:hyperlink r:id="rId138">
        <w:r>
          <w:rPr>
            <w:rStyle w:val="Hyperlink"/>
          </w:rPr>
          <w:t xml:space="preserve">https://doi.org/10.1111/psyp.13766</w:t>
        </w:r>
      </w:hyperlink>
    </w:p>
    <w:bookmarkEnd w:id="139"/>
    <w:bookmarkStart w:id="141" w:name="ref-sederberg2008context"/>
    <w:p>
      <w:pPr>
        <w:pStyle w:val="Bibliography"/>
      </w:pPr>
      <w:r>
        <w:t xml:space="preserve">Sederberg, P. B., Howard, M. W., &amp; Kahana, M. J. (2008). A context-based theory of recency and contiguity in free recall.</w:t>
      </w:r>
      <w:r>
        <w:t xml:space="preserve"> </w:t>
      </w:r>
      <w:r>
        <w:rPr>
          <w:i/>
          <w:iCs/>
        </w:rPr>
        <w:t xml:space="preserve">Psychological Review</w:t>
      </w:r>
      <w:r>
        <w:t xml:space="preserve">,</w:t>
      </w:r>
      <w:r>
        <w:t xml:space="preserve"> </w:t>
      </w:r>
      <w:r>
        <w:rPr>
          <w:i/>
          <w:iCs/>
        </w:rPr>
        <w:t xml:space="preserve">115</w:t>
      </w:r>
      <w:r>
        <w:t xml:space="preserve">(4), 893–912.</w:t>
      </w:r>
      <w:r>
        <w:t xml:space="preserve"> </w:t>
      </w:r>
      <w:hyperlink r:id="rId140">
        <w:r>
          <w:rPr>
            <w:rStyle w:val="Hyperlink"/>
          </w:rPr>
          <w:t xml:space="preserve">https://doi.org/10.1037/a0013396</w:t>
        </w:r>
      </w:hyperlink>
    </w:p>
    <w:bookmarkEnd w:id="141"/>
    <w:bookmarkStart w:id="143" w:name="ref-stephens2010autonomic"/>
    <w:p>
      <w:pPr>
        <w:pStyle w:val="Bibliography"/>
      </w:pPr>
      <w:r>
        <w:t xml:space="preserve">Stephens, C. L., Christie, I. C., &amp; Friedman, B. H. (2010). Autonomic specificity of basic emotions: Evidence from pattern classification and cluster analysis.</w:t>
      </w:r>
      <w:r>
        <w:t xml:space="preserve"> </w:t>
      </w:r>
      <w:r>
        <w:rPr>
          <w:i/>
          <w:iCs/>
        </w:rPr>
        <w:t xml:space="preserve">Biological Psychology</w:t>
      </w:r>
      <w:r>
        <w:t xml:space="preserve">,</w:t>
      </w:r>
      <w:r>
        <w:t xml:space="preserve"> </w:t>
      </w:r>
      <w:r>
        <w:rPr>
          <w:i/>
          <w:iCs/>
        </w:rPr>
        <w:t xml:space="preserve">84</w:t>
      </w:r>
      <w:r>
        <w:t xml:space="preserve">(3), 463–473.</w:t>
      </w:r>
      <w:r>
        <w:t xml:space="preserve"> </w:t>
      </w:r>
      <w:hyperlink r:id="rId142">
        <w:r>
          <w:rPr>
            <w:rStyle w:val="Hyperlink"/>
          </w:rPr>
          <w:t xml:space="preserve">https://doi.org/10.1016/j.biopsycho.2010.03.014</w:t>
        </w:r>
      </w:hyperlink>
    </w:p>
    <w:bookmarkEnd w:id="143"/>
    <w:bookmarkStart w:id="145" w:name="ref-storn1997differential"/>
    <w:p>
      <w:pPr>
        <w:pStyle w:val="Bibliography"/>
      </w:pPr>
      <w:r>
        <w:t xml:space="preserve">Storn, R., &amp; Price, K. (1997). Differential evolution – a simple and efficient heuristic for global optimization over continuous spaces.</w:t>
      </w:r>
      <w:r>
        <w:t xml:space="preserve"> </w:t>
      </w:r>
      <w:r>
        <w:rPr>
          <w:i/>
          <w:iCs/>
        </w:rPr>
        <w:t xml:space="preserve">Journal of Global Optimization</w:t>
      </w:r>
      <w:r>
        <w:t xml:space="preserve">,</w:t>
      </w:r>
      <w:r>
        <w:t xml:space="preserve"> </w:t>
      </w:r>
      <w:r>
        <w:rPr>
          <w:i/>
          <w:iCs/>
        </w:rPr>
        <w:t xml:space="preserve">11</w:t>
      </w:r>
      <w:r>
        <w:t xml:space="preserve">(4), 341–359.</w:t>
      </w:r>
      <w:r>
        <w:t xml:space="preserve"> </w:t>
      </w:r>
      <w:hyperlink r:id="rId144">
        <w:r>
          <w:rPr>
            <w:rStyle w:val="Hyperlink"/>
          </w:rPr>
          <w:t xml:space="preserve">https://doi.org/10.1023/A:1008202821328</w:t>
        </w:r>
      </w:hyperlink>
    </w:p>
    <w:bookmarkEnd w:id="145"/>
    <w:bookmarkStart w:id="147" w:name="ref-talmi2013enhanced"/>
    <w:p>
      <w:pPr>
        <w:pStyle w:val="Bibliography"/>
      </w:pPr>
      <w:r>
        <w:t xml:space="preserve">Talmi, D. (2013). Enhanced emotional memory: Cognitive and neural mechanisms.</w:t>
      </w:r>
      <w:r>
        <w:t xml:space="preserve"> </w:t>
      </w:r>
      <w:r>
        <w:rPr>
          <w:i/>
          <w:iCs/>
        </w:rPr>
        <w:t xml:space="preserve">Current Directions in Psychological Science</w:t>
      </w:r>
      <w:r>
        <w:t xml:space="preserve">,</w:t>
      </w:r>
      <w:r>
        <w:t xml:space="preserve"> </w:t>
      </w:r>
      <w:r>
        <w:rPr>
          <w:i/>
          <w:iCs/>
        </w:rPr>
        <w:t xml:space="preserve">22</w:t>
      </w:r>
      <w:r>
        <w:t xml:space="preserve">(6), 430–436.</w:t>
      </w:r>
      <w:r>
        <w:t xml:space="preserve"> </w:t>
      </w:r>
      <w:hyperlink r:id="rId146">
        <w:r>
          <w:rPr>
            <w:rStyle w:val="Hyperlink"/>
          </w:rPr>
          <w:t xml:space="preserve">https://doi.org/10.1177/0963721413498893</w:t>
        </w:r>
      </w:hyperlink>
    </w:p>
    <w:bookmarkEnd w:id="147"/>
    <w:bookmarkStart w:id="149" w:name="ref-talmi2019retrieved"/>
    <w:p>
      <w:pPr>
        <w:pStyle w:val="Bibliography"/>
      </w:pPr>
      <w:r>
        <w:t xml:space="preserve">Talmi, D., Lohnas, L. J., &amp; Daw, N. D. (2019). A retrieved context model of the emotional modulation of memory.</w:t>
      </w:r>
      <w:r>
        <w:t xml:space="preserve"> </w:t>
      </w:r>
      <w:r>
        <w:rPr>
          <w:i/>
          <w:iCs/>
        </w:rPr>
        <w:t xml:space="preserve">Psychological Review</w:t>
      </w:r>
      <w:r>
        <w:t xml:space="preserve">,</w:t>
      </w:r>
      <w:r>
        <w:t xml:space="preserve"> </w:t>
      </w:r>
      <w:r>
        <w:rPr>
          <w:i/>
          <w:iCs/>
        </w:rPr>
        <w:t xml:space="preserve">126</w:t>
      </w:r>
      <w:r>
        <w:t xml:space="preserve">(4), 455–485.</w:t>
      </w:r>
      <w:r>
        <w:t xml:space="preserve"> </w:t>
      </w:r>
      <w:hyperlink r:id="rId148">
        <w:r>
          <w:rPr>
            <w:rStyle w:val="Hyperlink"/>
          </w:rPr>
          <w:t xml:space="preserve">https://doi.org/10.1037/rev0000132</w:t>
        </w:r>
      </w:hyperlink>
    </w:p>
    <w:bookmarkEnd w:id="149"/>
    <w:bookmarkStart w:id="151" w:name="ref-talmi2007contribution"/>
    <w:p>
      <w:pPr>
        <w:pStyle w:val="Bibliography"/>
      </w:pPr>
      <w:r>
        <w:t xml:space="preserve">Talmi, D., Luk, B. T. C., McGarry, L. M., &amp; Moscovitch, M. (2007). The contribution of relatedness and distinctiveness to emotionally-enhanced memory.</w:t>
      </w:r>
      <w:r>
        <w:t xml:space="preserve"> </w:t>
      </w:r>
      <w:r>
        <w:rPr>
          <w:i/>
          <w:iCs/>
        </w:rPr>
        <w:t xml:space="preserve">Journal of Memory and Language</w:t>
      </w:r>
      <w:r>
        <w:t xml:space="preserve">,</w:t>
      </w:r>
      <w:r>
        <w:t xml:space="preserve"> </w:t>
      </w:r>
      <w:r>
        <w:rPr>
          <w:i/>
          <w:iCs/>
        </w:rPr>
        <w:t xml:space="preserve">56</w:t>
      </w:r>
      <w:r>
        <w:t xml:space="preserve">(4), 555–574.</w:t>
      </w:r>
      <w:r>
        <w:t xml:space="preserve"> </w:t>
      </w:r>
      <w:hyperlink r:id="rId150">
        <w:r>
          <w:rPr>
            <w:rStyle w:val="Hyperlink"/>
          </w:rPr>
          <w:t xml:space="preserve">https://doi.org/10.1016/j.jml.2007.01.002</w:t>
        </w:r>
      </w:hyperlink>
    </w:p>
    <w:bookmarkEnd w:id="151"/>
    <w:bookmarkStart w:id="153" w:name="ref-talmi2012accounting"/>
    <w:p>
      <w:pPr>
        <w:pStyle w:val="Bibliography"/>
      </w:pPr>
      <w:r>
        <w:t xml:space="preserve">Talmi, D., &amp; McGarry, L. M. (2012). Accounting for immediate emotional memory enhancement.</w:t>
      </w:r>
      <w:r>
        <w:t xml:space="preserve"> </w:t>
      </w:r>
      <w:r>
        <w:rPr>
          <w:i/>
          <w:iCs/>
        </w:rPr>
        <w:t xml:space="preserve">Journal of Memory and Language</w:t>
      </w:r>
      <w:r>
        <w:t xml:space="preserve">,</w:t>
      </w:r>
      <w:r>
        <w:t xml:space="preserve"> </w:t>
      </w:r>
      <w:r>
        <w:rPr>
          <w:i/>
          <w:iCs/>
        </w:rPr>
        <w:t xml:space="preserve">66</w:t>
      </w:r>
      <w:r>
        <w:t xml:space="preserve">(1), 93–108.</w:t>
      </w:r>
      <w:r>
        <w:t xml:space="preserve"> </w:t>
      </w:r>
      <w:hyperlink r:id="rId152">
        <w:r>
          <w:rPr>
            <w:rStyle w:val="Hyperlink"/>
          </w:rPr>
          <w:t xml:space="preserve">https://doi.org/10.1016/j.jml.2011.07.009</w:t>
        </w:r>
      </w:hyperlink>
    </w:p>
    <w:bookmarkEnd w:id="153"/>
    <w:bookmarkStart w:id="155" w:name="ref-turner2016more"/>
    <w:p>
      <w:pPr>
        <w:pStyle w:val="Bibliography"/>
      </w:pPr>
      <w:r>
        <w:t xml:space="preserve">Turner, B. M., Rodriguez, C. A., Norcia, T. M., McClure, S. M., &amp; Steyvers, M. (2016). Why more is better: Simultaneous modeling of</w:t>
      </w:r>
      <w:r>
        <w:t xml:space="preserve"> </w:t>
      </w:r>
      <w:r>
        <w:t xml:space="preserve">EEG</w:t>
      </w:r>
      <w:r>
        <w:t xml:space="preserve">,</w:t>
      </w:r>
      <w:r>
        <w:t xml:space="preserve"> </w:t>
      </w:r>
      <w:r>
        <w:t xml:space="preserve">fMRI</w:t>
      </w:r>
      <w:r>
        <w:t xml:space="preserve">, and behavioral data.</w:t>
      </w:r>
      <w:r>
        <w:t xml:space="preserve"> </w:t>
      </w:r>
      <w:r>
        <w:rPr>
          <w:i/>
          <w:iCs/>
        </w:rPr>
        <w:t xml:space="preserve">NeuroImage</w:t>
      </w:r>
      <w:r>
        <w:t xml:space="preserve">,</w:t>
      </w:r>
      <w:r>
        <w:t xml:space="preserve"> </w:t>
      </w:r>
      <w:r>
        <w:rPr>
          <w:i/>
          <w:iCs/>
        </w:rPr>
        <w:t xml:space="preserve">128</w:t>
      </w:r>
      <w:r>
        <w:t xml:space="preserve">, 96–115.</w:t>
      </w:r>
      <w:r>
        <w:t xml:space="preserve"> </w:t>
      </w:r>
      <w:hyperlink r:id="rId154">
        <w:r>
          <w:rPr>
            <w:rStyle w:val="Hyperlink"/>
          </w:rPr>
          <w:t xml:space="preserve">https://doi.org/10.1016/j.neuroimage.2015.12.030</w:t>
        </w:r>
      </w:hyperlink>
    </w:p>
    <w:bookmarkEnd w:id="155"/>
    <w:bookmarkStart w:id="157" w:name="ref-watts2014neural"/>
    <w:p>
      <w:pPr>
        <w:pStyle w:val="Bibliography"/>
      </w:pPr>
      <w:r>
        <w:t xml:space="preserve">Watts, S., Buratto, L. G., Brotherhood, E. V., Barnacle, G. E., &amp; Schaefer, A. (2014). The neural fate of neutral information in emotion-enhanced memory.</w:t>
      </w:r>
      <w:r>
        <w:t xml:space="preserve"> </w:t>
      </w:r>
      <w:r>
        <w:rPr>
          <w:i/>
          <w:iCs/>
        </w:rPr>
        <w:t xml:space="preserve">Psychophysiology</w:t>
      </w:r>
      <w:r>
        <w:t xml:space="preserve">,</w:t>
      </w:r>
      <w:r>
        <w:t xml:space="preserve"> </w:t>
      </w:r>
      <w:r>
        <w:rPr>
          <w:i/>
          <w:iCs/>
        </w:rPr>
        <w:t xml:space="preserve">51</w:t>
      </w:r>
      <w:r>
        <w:t xml:space="preserve">(7), 673–684.</w:t>
      </w:r>
      <w:r>
        <w:t xml:space="preserve"> </w:t>
      </w:r>
      <w:hyperlink r:id="rId156">
        <w:r>
          <w:rPr>
            <w:rStyle w:val="Hyperlink"/>
          </w:rPr>
          <w:t xml:space="preserve">https://doi.org/10.1111/psyp.12211</w:t>
        </w:r>
      </w:hyperlink>
    </w:p>
    <w:bookmarkEnd w:id="157"/>
    <w:bookmarkStart w:id="159" w:name="ref-weinberg2021emotion"/>
    <w:p>
      <w:pPr>
        <w:pStyle w:val="Bibliography"/>
      </w:pPr>
      <w:r>
        <w:t xml:space="preserve">Weinberg, A., Correa, K. A., Stevens, E. S., &amp; Shankman, S. A. (2021). The emotion-elicited late positive potential is stable across five testing sessions.</w:t>
      </w:r>
      <w:r>
        <w:t xml:space="preserve"> </w:t>
      </w:r>
      <w:r>
        <w:rPr>
          <w:i/>
          <w:iCs/>
        </w:rPr>
        <w:t xml:space="preserve">Psychophysiology</w:t>
      </w:r>
      <w:r>
        <w:t xml:space="preserve">,</w:t>
      </w:r>
      <w:r>
        <w:t xml:space="preserve"> </w:t>
      </w:r>
      <w:r>
        <w:rPr>
          <w:i/>
          <w:iCs/>
        </w:rPr>
        <w:t xml:space="preserve">58</w:t>
      </w:r>
      <w:r>
        <w:t xml:space="preserve">(11), e13904.</w:t>
      </w:r>
      <w:r>
        <w:t xml:space="preserve"> </w:t>
      </w:r>
      <w:hyperlink r:id="rId158">
        <w:r>
          <w:rPr>
            <w:rStyle w:val="Hyperlink"/>
          </w:rPr>
          <w:t xml:space="preserve">https://doi.org/10.1111/psyp.13904</w:t>
        </w:r>
      </w:hyperlink>
    </w:p>
    <w:bookmarkEnd w:id="159"/>
    <w:bookmarkStart w:id="160" w:name="ref-wessa2010emopics"/>
    <w:p>
      <w:pPr>
        <w:pStyle w:val="Bibliography"/>
      </w:pPr>
      <w:r>
        <w:t xml:space="preserve">Wessa, M., Kanske, P., Neumeister, P., Bode, K., Heissler, J., &amp; Schönfelder, S. (2010).</w:t>
      </w:r>
      <w:r>
        <w:t xml:space="preserve"> </w:t>
      </w:r>
      <w:r>
        <w:t xml:space="preserve">EmoPics</w:t>
      </w:r>
      <w:r>
        <w:t xml:space="preserve">: Subjektive und psychophysiologische evaluationen neuen bildmaterials f</w:t>
      </w:r>
      <w:r>
        <w:t xml:space="preserve">ü</w:t>
      </w:r>
      <w:r>
        <w:t xml:space="preserve">r die klinisch-bio-psychologische forschung.</w:t>
      </w:r>
      <w:r>
        <w:t xml:space="preserve"> </w:t>
      </w:r>
      <w:r>
        <w:rPr>
          <w:i/>
          <w:iCs/>
        </w:rPr>
        <w:t xml:space="preserve">Zeitschrift f</w:t>
      </w:r>
      <w:r>
        <w:rPr>
          <w:i/>
          <w:iCs/>
        </w:rPr>
        <w:t xml:space="preserve">ü</w:t>
      </w:r>
      <w:r>
        <w:rPr>
          <w:i/>
          <w:iCs/>
        </w:rPr>
        <w:t xml:space="preserve">r Klinische Psychologie Und Psychotherapie</w:t>
      </w:r>
      <w:r>
        <w:t xml:space="preserve">,</w:t>
      </w:r>
      <w:r>
        <w:t xml:space="preserve"> </w:t>
      </w:r>
      <w:r>
        <w:rPr>
          <w:i/>
          <w:iCs/>
        </w:rPr>
        <w:t xml:space="preserve">Supplement</w:t>
      </w:r>
      <w:r>
        <w:t xml:space="preserve">(1/11), 77.</w:t>
      </w:r>
    </w:p>
    <w:bookmarkEnd w:id="160"/>
    <w:bookmarkStart w:id="162" w:name="ref-zarubin2020contributions"/>
    <w:p>
      <w:pPr>
        <w:pStyle w:val="Bibliography"/>
      </w:pPr>
      <w:r>
        <w:t xml:space="preserve">Zarubin, V. C., Phillips, T. K., Robertson, E., Bolton Swafford, P. G., Bunge, T., Aguillard, D., Martsberger, C., &amp; Mickley Steinmetz, K. R. (2020). Contributions of arousal, attention, distinctiveness, and semantic relatedness to enhanced emotional memory: An event-related potential and electrocardiogram study.</w:t>
      </w:r>
      <w:r>
        <w:t xml:space="preserve"> </w:t>
      </w:r>
      <w:r>
        <w:rPr>
          <w:i/>
          <w:iCs/>
        </w:rPr>
        <w:t xml:space="preserve">Affective Science</w:t>
      </w:r>
      <w:r>
        <w:t xml:space="preserve">,</w:t>
      </w:r>
      <w:r>
        <w:t xml:space="preserve"> </w:t>
      </w:r>
      <w:r>
        <w:rPr>
          <w:i/>
          <w:iCs/>
        </w:rPr>
        <w:t xml:space="preserve">1</w:t>
      </w:r>
      <w:r>
        <w:t xml:space="preserve">(3), 172–185.</w:t>
      </w:r>
      <w:r>
        <w:t xml:space="preserve"> </w:t>
      </w:r>
      <w:hyperlink r:id="rId161">
        <w:r>
          <w:rPr>
            <w:rStyle w:val="Hyperlink"/>
          </w:rPr>
          <w:t xml:space="preserve">https://doi.org/10.1007/s42761-020-00012-y</w:t>
        </w:r>
      </w:hyperlink>
    </w:p>
    <w:bookmarkEnd w:id="162"/>
    <w:bookmarkStart w:id="164" w:name="ref-zhou2025episodic"/>
    <w:p>
      <w:pPr>
        <w:pStyle w:val="Bibliography"/>
      </w:pPr>
      <w:r>
        <w:t xml:space="preserve">Zhou, C. Y., Talmi, D., Daw, N. D., &amp; Mattar, M. G. (2025). Episodic retrieval for model-based evaluation in sequential decision tasks.</w:t>
      </w:r>
      <w:r>
        <w:t xml:space="preserve"> </w:t>
      </w:r>
      <w:r>
        <w:rPr>
          <w:i/>
          <w:iCs/>
        </w:rPr>
        <w:t xml:space="preserve">Psychological Review</w:t>
      </w:r>
      <w:r>
        <w:t xml:space="preserve">,</w:t>
      </w:r>
      <w:r>
        <w:t xml:space="preserve"> </w:t>
      </w:r>
      <w:r>
        <w:rPr>
          <w:i/>
          <w:iCs/>
        </w:rPr>
        <w:t xml:space="preserve">132</w:t>
      </w:r>
      <w:r>
        <w:t xml:space="preserve">(1), 18–49.</w:t>
      </w:r>
      <w:r>
        <w:t xml:space="preserve"> </w:t>
      </w:r>
      <w:hyperlink r:id="rId163">
        <w:r>
          <w:rPr>
            <w:rStyle w:val="Hyperlink"/>
          </w:rPr>
          <w:t xml:space="preserve">https://doi.org/10.1037/rev0000505</w:t>
        </w:r>
      </w:hyperlink>
    </w:p>
    <w:bookmarkEnd w:id="164"/>
    <w:bookmarkEnd w:id="165"/>
    <w:bookmarkEnd w:id="166"/>
    <w:bookmarkEnd w:id="167"/>
    <w:bookmarkStart w:id="201" w:name="supplementary-material"/>
    <w:p>
      <w:pPr>
        <w:pStyle w:val="Heading1"/>
      </w:pPr>
      <w:r>
        <w:t xml:space="preserve">Supplementary material</w:t>
      </w:r>
    </w:p>
    <w:bookmarkStart w:id="169" w:name="tbl-primary-ecmr-comparison"/>
    <w:p>
      <w:pPr>
        <w:pStyle w:val="FigureTitle"/>
      </w:pPr>
      <w:r>
        <w:t xml:space="preserve">Table 1</w:t>
      </w:r>
    </w:p>
    <w:p>
      <w:pPr>
        <w:pStyle w:val="Caption"/>
      </w:pPr>
      <w:r>
        <w:t xml:space="preserve">Eight models formed by crossing Early LPP modulation with a fixed or estimated emotional learning multiplier.</w:t>
      </w:r>
    </w:p>
    <w:bookmarkStart w:id="168" w:name="tbl-primary"/>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Early LPP specification</w:t>
            </w:r>
          </w:p>
        </w:tc>
        <w:tc>
          <w:tcPr/>
          <w:p>
            <w:pPr>
              <w:pStyle w:val="Compact"/>
              <w:jc w:val="left"/>
            </w:pPr>
            <w:r>
              <w:t xml:space="preserve">Multiplier fixed at 1: preferential emotional learning absent</w:t>
            </w:r>
          </w:p>
        </w:tc>
        <w:tc>
          <w:tcPr/>
          <w:p>
            <w:pPr>
              <w:pStyle w:val="Compact"/>
              <w:jc w:val="left"/>
            </w:pPr>
            <w:r>
              <w:t xml:space="preserve">Multiplier estimated: preferential emotional learning allowed</w:t>
            </w:r>
          </w:p>
        </w:tc>
      </w:tr>
      <w:tr>
        <w:tc>
          <w:tcPr/>
          <w:p>
            <w:pPr>
              <w:pStyle w:val="Compact"/>
              <w:jc w:val="left"/>
            </w:pPr>
            <w:r>
              <w:t xml:space="preserve">No LPP</w:t>
            </w:r>
          </w:p>
        </w:tc>
        <w:tc>
          <w:tcPr/>
          <w:p>
            <w:pPr>
              <w:pStyle w:val="Compact"/>
              <w:jc w:val="left"/>
            </w:pPr>
            <w:r>
              <w:t xml:space="preserve">Source context baseline (11)</w:t>
            </w:r>
          </w:p>
        </w:tc>
        <w:tc>
          <w:tcPr/>
          <w:p>
            <w:pPr>
              <w:pStyle w:val="Compact"/>
              <w:jc w:val="left"/>
            </w:pPr>
            <w:r>
              <w:t xml:space="preserve">Preferential learning model (12)</w:t>
            </w:r>
          </w:p>
        </w:tc>
      </w:tr>
      <w:tr>
        <w:tc>
          <w:tcPr/>
          <w:p>
            <w:pPr>
              <w:pStyle w:val="Compact"/>
              <w:jc w:val="left"/>
            </w:pPr>
            <w:r>
              <w:t xml:space="preserve">General LPP</w:t>
            </w:r>
          </w:p>
        </w:tc>
        <w:tc>
          <w:tcPr/>
          <w:p>
            <w:pPr>
              <w:pStyle w:val="Compact"/>
              <w:jc w:val="left"/>
            </w:pPr>
            <w:r>
              <w:t xml:space="preserve">General LPP model (12)</w:t>
            </w:r>
          </w:p>
        </w:tc>
        <w:tc>
          <w:tcPr/>
          <w:p>
            <w:pPr>
              <w:pStyle w:val="Compact"/>
              <w:jc w:val="left"/>
            </w:pPr>
            <w:r>
              <w:t xml:space="preserve">Preferential learning + General LPP model (13)</w:t>
            </w:r>
          </w:p>
        </w:tc>
      </w:tr>
      <w:tr>
        <w:tc>
          <w:tcPr/>
          <w:p>
            <w:pPr>
              <w:pStyle w:val="Compact"/>
              <w:jc w:val="left"/>
            </w:pPr>
            <w:r>
              <w:t xml:space="preserve">Emotion-dependent LPP</w:t>
            </w:r>
          </w:p>
        </w:tc>
        <w:tc>
          <w:tcPr/>
          <w:p>
            <w:pPr>
              <w:pStyle w:val="Compact"/>
              <w:jc w:val="left"/>
            </w:pPr>
            <w:r>
              <w:t xml:space="preserve">Emotion-dependent LPP model (12)</w:t>
            </w:r>
          </w:p>
        </w:tc>
        <w:tc>
          <w:tcPr/>
          <w:p>
            <w:pPr>
              <w:pStyle w:val="Compact"/>
              <w:jc w:val="left"/>
            </w:pPr>
            <w:r>
              <w:t xml:space="preserve">Preferential learning + Emotion-dependent LPP model (13)</w:t>
            </w:r>
          </w:p>
        </w:tc>
      </w:tr>
      <w:tr>
        <w:tc>
          <w:tcPr/>
          <w:p>
            <w:pPr>
              <w:pStyle w:val="Compact"/>
              <w:jc w:val="left"/>
            </w:pPr>
            <w:r>
              <w:t xml:space="preserve">Combined LPP</w:t>
            </w:r>
          </w:p>
        </w:tc>
        <w:tc>
          <w:tcPr/>
          <w:p>
            <w:pPr>
              <w:pStyle w:val="Compact"/>
              <w:jc w:val="left"/>
            </w:pPr>
            <w:r>
              <w:t xml:space="preserve">Combined LPP model (13)</w:t>
            </w:r>
          </w:p>
        </w:tc>
        <w:tc>
          <w:tcPr/>
          <w:p>
            <w:pPr>
              <w:pStyle w:val="Compact"/>
              <w:jc w:val="left"/>
            </w:pPr>
            <w:r>
              <w:t xml:space="preserve">Preferential learning + Combined LPP model (14)</w:t>
            </w:r>
          </w:p>
        </w:tc>
      </w:tr>
    </w:tbl>
    <w:bookmarkEnd w:id="168"/>
    <w:bookmarkEnd w:id="169"/>
    <w:p>
      <w:pPr>
        <w:pStyle w:val="FigureNote"/>
      </w:pPr>
      <w:r>
        <w:rPr>
          <w:i/>
          <w:iCs/>
        </w:rPr>
        <w:t xml:space="preserve">Note</w:t>
      </w:r>
      <w:r>
        <w:t xml:space="preserve">. All models contained temporal context and separate source representations for emotional and neutral items. Numbers in parentheses indicate the number of free parameters. Estimating the multiplier tested the directional hypothesis of preferential emotional learning while also permitting attenuation.</w:t>
      </w:r>
    </w:p>
    <w:p>
      <w:r>
        <w:br w:type="page"/>
      </w:r>
    </w:p>
    <w:bookmarkStart w:id="171" w:name="tbl-model-parameter-spec"/>
    <w:p>
      <w:pPr>
        <w:pStyle w:val="FigureTitle"/>
      </w:pPr>
      <w:r>
        <w:t xml:space="preserve">Table 2</w:t>
      </w:r>
    </w:p>
    <w:p>
      <w:pPr>
        <w:pStyle w:val="Caption"/>
      </w:pPr>
      <w:r>
        <w:t xml:space="preserve">Parameters and constraints used in the eight-model specification.</w:t>
      </w:r>
    </w:p>
    <w:bookmarkStart w:id="170" w:name="tbl-model"/>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Parameter</w:t>
            </w:r>
          </w:p>
        </w:tc>
        <w:tc>
          <w:tcPr/>
          <w:p>
            <w:pPr>
              <w:pStyle w:val="Compact"/>
              <w:jc w:val="left"/>
            </w:pPr>
            <w:r>
              <w:t xml:space="preserve">Role</w:t>
            </w:r>
          </w:p>
        </w:tc>
        <w:tc>
          <w:tcPr/>
          <w:p>
            <w:pPr>
              <w:pStyle w:val="Compact"/>
              <w:jc w:val="left"/>
            </w:pPr>
            <w:r>
              <w:t xml:space="preserve">Fitted range or fixed value</w:t>
            </w:r>
          </w:p>
        </w:tc>
      </w:tr>
      <w:tr>
        <w:tc>
          <w:tcPr/>
          <w:p>
            <w:pPr>
              <w:pStyle w:val="Compact"/>
              <w:jc w:val="left"/>
            </w:pPr>
            <m:oMath>
              <m:sSubSup>
                <m:e>
                  <m:r>
                    <m:t>β</m:t>
                  </m:r>
                </m:e>
                <m:sub>
                  <m:r>
                    <m:rPr>
                      <m:sty m:val="p"/>
                    </m:rPr>
                    <m:t>e</m:t>
                  </m:r>
                  <m:r>
                    <m:rPr>
                      <m:sty m:val="p"/>
                    </m:rPr>
                    <m:t>n</m:t>
                  </m:r>
                  <m:r>
                    <m:rPr>
                      <m:sty m:val="p"/>
                    </m:rPr>
                    <m:t>c</m:t>
                  </m:r>
                </m:sub>
                <m:sup>
                  <m:r>
                    <m:t>T</m:t>
                  </m:r>
                </m:sup>
              </m:sSubSup>
            </m:oMath>
          </w:p>
        </w:tc>
        <w:tc>
          <w:tcPr/>
          <w:p>
            <w:pPr>
              <w:pStyle w:val="Compact"/>
              <w:jc w:val="left"/>
            </w:pPr>
            <w:r>
              <w:t xml:space="preserve">Temporal-context drift during study</w:t>
            </w:r>
          </w:p>
        </w:tc>
        <w:tc>
          <w:tcPr/>
          <w:p>
            <w:pPr>
              <w:pStyle w:val="Compact"/>
              <w:jc w:val="left"/>
            </w:pPr>
            <m:oMath>
              <m:d>
                <m:dPr>
                  <m:begChr m:val="("/>
                  <m:sepChr m:val=""/>
                  <m:endChr m:val=")"/>
                  <m:grow/>
                </m:dPr>
                <m:e>
                  <m:r>
                    <m:t>0</m:t>
                  </m:r>
                  <m:r>
                    <m:rPr>
                      <m:sty m:val="p"/>
                    </m:rPr>
                    <m:t>,</m:t>
                  </m:r>
                  <m:r>
                    <m:t>1</m:t>
                  </m:r>
                </m:e>
              </m:d>
            </m:oMath>
          </w:p>
        </w:tc>
      </w:tr>
      <w:tr>
        <w:tc>
          <w:tcPr/>
          <w:p>
            <w:pPr>
              <w:pStyle w:val="Compact"/>
              <w:jc w:val="left"/>
            </w:pPr>
            <m:oMath>
              <m:sSubSup>
                <m:e>
                  <m:r>
                    <m:t>β</m:t>
                  </m:r>
                </m:e>
                <m:sub>
                  <m:r>
                    <m:rPr>
                      <m:sty m:val="p"/>
                    </m:rPr>
                    <m:t>e</m:t>
                  </m:r>
                  <m:r>
                    <m:rPr>
                      <m:sty m:val="p"/>
                    </m:rPr>
                    <m:t>n</m:t>
                  </m:r>
                  <m:r>
                    <m:rPr>
                      <m:sty m:val="p"/>
                    </m:rPr>
                    <m:t>c</m:t>
                  </m:r>
                </m:sub>
                <m:sup>
                  <m:r>
                    <m:t>S</m:t>
                  </m:r>
                </m:sup>
              </m:sSubSup>
            </m:oMath>
          </w:p>
        </w:tc>
        <w:tc>
          <w:tcPr/>
          <w:p>
            <w:pPr>
              <w:pStyle w:val="Compact"/>
              <w:jc w:val="left"/>
            </w:pPr>
            <w:r>
              <w:t xml:space="preserve">Source-context drift during study</w:t>
            </w:r>
          </w:p>
        </w:tc>
        <w:tc>
          <w:tcPr/>
          <w:p>
            <w:pPr>
              <w:pStyle w:val="Compact"/>
              <w:jc w:val="left"/>
            </w:pPr>
            <m:oMath>
              <m:d>
                <m:dPr>
                  <m:begChr m:val="("/>
                  <m:sepChr m:val=""/>
                  <m:endChr m:val=")"/>
                  <m:grow/>
                </m:dPr>
                <m:e>
                  <m:r>
                    <m:t>0</m:t>
                  </m:r>
                  <m:r>
                    <m:rPr>
                      <m:sty m:val="p"/>
                    </m:rPr>
                    <m:t>,</m:t>
                  </m:r>
                  <m:r>
                    <m:t>1</m:t>
                  </m:r>
                </m:e>
              </m:d>
            </m:oMath>
          </w:p>
        </w:tc>
      </w:tr>
      <w:tr>
        <w:tc>
          <w:tcPr/>
          <w:p>
            <w:pPr>
              <w:pStyle w:val="Compact"/>
              <w:jc w:val="left"/>
            </w:pPr>
            <m:oMath>
              <m:sSub>
                <m:e>
                  <m:r>
                    <m:t>β</m:t>
                  </m:r>
                </m:e>
                <m:sub>
                  <m:r>
                    <m:rPr>
                      <m:sty m:val="p"/>
                    </m:rPr>
                    <m:t>s</m:t>
                  </m:r>
                  <m:r>
                    <m:rPr>
                      <m:sty m:val="p"/>
                    </m:rPr>
                    <m:t>t</m:t>
                  </m:r>
                  <m:r>
                    <m:rPr>
                      <m:sty m:val="p"/>
                    </m:rPr>
                    <m:t>a</m:t>
                  </m:r>
                  <m:r>
                    <m:rPr>
                      <m:sty m:val="p"/>
                    </m:rPr>
                    <m:t>r</m:t>
                  </m:r>
                  <m:r>
                    <m:rPr>
                      <m:sty m:val="p"/>
                    </m:rPr>
                    <m:t>t</m:t>
                  </m:r>
                </m:sub>
              </m:sSub>
            </m:oMath>
          </w:p>
        </w:tc>
        <w:tc>
          <w:tcPr/>
          <w:p>
            <w:pPr>
              <w:pStyle w:val="Compact"/>
              <w:jc w:val="left"/>
            </w:pPr>
            <w:r>
              <w:t xml:space="preserve">Drift toward start-of-list context before recall</w:t>
            </w:r>
          </w:p>
        </w:tc>
        <w:tc>
          <w:tcPr/>
          <w:p>
            <w:pPr>
              <w:pStyle w:val="Compact"/>
              <w:jc w:val="left"/>
            </w:pPr>
            <m:oMath>
              <m:d>
                <m:dPr>
                  <m:begChr m:val="("/>
                  <m:sepChr m:val=""/>
                  <m:endChr m:val=")"/>
                  <m:grow/>
                </m:dPr>
                <m:e>
                  <m:r>
                    <m:t>0</m:t>
                  </m:r>
                  <m:r>
                    <m:rPr>
                      <m:sty m:val="p"/>
                    </m:rPr>
                    <m:t>,</m:t>
                  </m:r>
                  <m:r>
                    <m:t>1</m:t>
                  </m:r>
                </m:e>
              </m:d>
            </m:oMath>
          </w:p>
        </w:tc>
      </w:tr>
      <w:tr>
        <w:tc>
          <w:tcPr/>
          <w:p>
            <w:pPr>
              <w:pStyle w:val="Compact"/>
              <w:jc w:val="left"/>
            </w:pPr>
            <m:oMath>
              <m:sSubSup>
                <m:e>
                  <m:r>
                    <m:t>β</m:t>
                  </m:r>
                </m:e>
                <m:sub>
                  <m:r>
                    <m:rPr>
                      <m:sty m:val="p"/>
                    </m:rPr>
                    <m:t>r</m:t>
                  </m:r>
                  <m:r>
                    <m:rPr>
                      <m:sty m:val="p"/>
                    </m:rPr>
                    <m:t>e</m:t>
                  </m:r>
                  <m:r>
                    <m:rPr>
                      <m:sty m:val="p"/>
                    </m:rPr>
                    <m:t>c</m:t>
                  </m:r>
                </m:sub>
                <m:sup>
                  <m:r>
                    <m:t>T</m:t>
                  </m:r>
                </m:sup>
              </m:sSubSup>
            </m:oMath>
          </w:p>
        </w:tc>
        <w:tc>
          <w:tcPr/>
          <w:p>
            <w:pPr>
              <w:pStyle w:val="Compact"/>
              <w:jc w:val="left"/>
            </w:pPr>
            <w:r>
              <w:t xml:space="preserve">Temporal-context reinstatement after recall</w:t>
            </w:r>
          </w:p>
        </w:tc>
        <w:tc>
          <w:tcPr/>
          <w:p>
            <w:pPr>
              <w:pStyle w:val="Compact"/>
              <w:jc w:val="left"/>
            </w:pPr>
            <m:oMath>
              <m:d>
                <m:dPr>
                  <m:begChr m:val="("/>
                  <m:sepChr m:val=""/>
                  <m:endChr m:val=")"/>
                  <m:grow/>
                </m:dPr>
                <m:e>
                  <m:r>
                    <m:t>0</m:t>
                  </m:r>
                  <m:r>
                    <m:rPr>
                      <m:sty m:val="p"/>
                    </m:rPr>
                    <m:t>,</m:t>
                  </m:r>
                  <m:r>
                    <m:t>1</m:t>
                  </m:r>
                </m:e>
              </m:d>
            </m:oMath>
          </w:p>
        </w:tc>
      </w:tr>
      <w:tr>
        <w:tc>
          <w:tcPr/>
          <w:p>
            <w:pPr>
              <w:pStyle w:val="Compact"/>
              <w:jc w:val="left"/>
            </w:pPr>
            <m:oMath>
              <m:sSubSup>
                <m:e>
                  <m:r>
                    <m:t>β</m:t>
                  </m:r>
                </m:e>
                <m:sub>
                  <m:r>
                    <m:rPr>
                      <m:sty m:val="p"/>
                    </m:rPr>
                    <m:t>r</m:t>
                  </m:r>
                  <m:r>
                    <m:rPr>
                      <m:sty m:val="p"/>
                    </m:rPr>
                    <m:t>e</m:t>
                  </m:r>
                  <m:r>
                    <m:rPr>
                      <m:sty m:val="p"/>
                    </m:rPr>
                    <m:t>c</m:t>
                  </m:r>
                </m:sub>
                <m:sup>
                  <m:r>
                    <m:t>S</m:t>
                  </m:r>
                </m:sup>
              </m:sSubSup>
            </m:oMath>
          </w:p>
        </w:tc>
        <w:tc>
          <w:tcPr/>
          <w:p>
            <w:pPr>
              <w:pStyle w:val="Compact"/>
              <w:jc w:val="left"/>
            </w:pPr>
            <w:r>
              <w:t xml:space="preserve">Source-context reinstatement after recall</w:t>
            </w:r>
          </w:p>
        </w:tc>
        <w:tc>
          <w:tcPr/>
          <w:p>
            <w:pPr>
              <w:pStyle w:val="Compact"/>
              <w:jc w:val="left"/>
            </w:pPr>
            <m:oMath>
              <m:r>
                <m:t>1</m:t>
              </m:r>
            </m:oMath>
            <w:r>
              <w:t xml:space="preserve"> </w:t>
            </w:r>
            <w:r>
              <w:t xml:space="preserve">(fixed)</w:t>
            </w:r>
          </w:p>
        </w:tc>
      </w:tr>
      <w:tr>
        <w:tc>
          <w:tcPr/>
          <w:p>
            <w:pPr>
              <w:pStyle w:val="Compact"/>
              <w:jc w:val="left"/>
            </w:pPr>
            <m:oMath>
              <m:r>
                <m:t>α</m:t>
              </m:r>
            </m:oMath>
          </w:p>
        </w:tc>
        <w:tc>
          <w:tcPr/>
          <w:p>
            <w:pPr>
              <w:pStyle w:val="Compact"/>
              <w:jc w:val="left"/>
            </w:pPr>
            <w:r>
              <w:t xml:space="preserve">Pre-existing support from context shared across items</w:t>
            </w:r>
          </w:p>
        </w:tc>
        <w:tc>
          <w:tcPr/>
          <w:p>
            <w:pPr>
              <w:pStyle w:val="Compact"/>
              <w:jc w:val="left"/>
            </w:pPr>
            <m:oMath>
              <m:r>
                <m:rPr>
                  <m:sty m:val="p"/>
                </m:rPr>
                <m:t>(</m:t>
              </m:r>
              <m:r>
                <m:t>0</m:t>
              </m:r>
              <m:r>
                <m:rPr>
                  <m:sty m:val="p"/>
                </m:rPr>
                <m:t>,</m:t>
              </m:r>
              <m:r>
                <m:t>100</m:t>
              </m:r>
              <m:r>
                <m:rPr>
                  <m:sty m:val="p"/>
                </m:rPr>
                <m:t>]</m:t>
              </m:r>
            </m:oMath>
          </w:p>
        </w:tc>
      </w:tr>
      <w:tr>
        <w:tc>
          <w:tcPr/>
          <w:p>
            <w:pPr>
              <w:pStyle w:val="Compact"/>
              <w:jc w:val="left"/>
            </w:pPr>
            <m:oMath>
              <m:r>
                <m:t>δ</m:t>
              </m:r>
            </m:oMath>
          </w:p>
        </w:tc>
        <w:tc>
          <w:tcPr/>
          <w:p>
            <w:pPr>
              <w:pStyle w:val="Compact"/>
              <w:jc w:val="left"/>
            </w:pPr>
            <w:r>
              <w:t xml:space="preserve">Pre-existing support from context specific to each item</w:t>
            </w:r>
          </w:p>
        </w:tc>
        <w:tc>
          <w:tcPr/>
          <w:p>
            <w:pPr>
              <w:pStyle w:val="Compact"/>
              <w:jc w:val="left"/>
            </w:pPr>
            <m:oMath>
              <m:r>
                <m:rPr>
                  <m:sty m:val="p"/>
                </m:rPr>
                <m:t>(</m:t>
              </m:r>
              <m:r>
                <m:t>0</m:t>
              </m:r>
              <m:r>
                <m:rPr>
                  <m:sty m:val="p"/>
                </m:rPr>
                <m:t>,</m:t>
              </m:r>
              <m:r>
                <m:t>100</m:t>
              </m:r>
              <m:r>
                <m:rPr>
                  <m:sty m:val="p"/>
                </m:rPr>
                <m:t>]</m:t>
              </m:r>
            </m:oMath>
          </w:p>
        </w:tc>
      </w:tr>
      <w:tr>
        <w:tc>
          <w:tcPr/>
          <w:p>
            <w:pPr>
              <w:pStyle w:val="Compact"/>
              <w:jc w:val="left"/>
            </w:pPr>
            <m:oMath>
              <m:r>
                <m:t>γ</m:t>
              </m:r>
            </m:oMath>
          </w:p>
        </w:tc>
        <w:tc>
          <w:tcPr/>
          <w:p>
            <w:pPr>
              <w:pStyle w:val="Compact"/>
              <w:jc w:val="left"/>
            </w:pPr>
            <w:r>
              <w:t xml:space="preserve">Rate of learning associations from items to context</w:t>
            </w:r>
          </w:p>
        </w:tc>
        <w:tc>
          <w:tcPr/>
          <w:p>
            <w:pPr>
              <w:pStyle w:val="Compact"/>
              <w:jc w:val="left"/>
            </w:pPr>
            <m:oMath>
              <m:d>
                <m:dPr>
                  <m:begChr m:val="("/>
                  <m:sepChr m:val=""/>
                  <m:endChr m:val=")"/>
                  <m:grow/>
                </m:dPr>
                <m:e>
                  <m:r>
                    <m:t>0</m:t>
                  </m:r>
                  <m:r>
                    <m:rPr>
                      <m:sty m:val="p"/>
                    </m:rPr>
                    <m:t>,</m:t>
                  </m:r>
                  <m:r>
                    <m:t>1</m:t>
                  </m:r>
                </m:e>
              </m:d>
            </m:oMath>
          </w:p>
        </w:tc>
      </w:tr>
      <w:tr>
        <w:tc>
          <w:tcPr/>
          <w:p>
            <w:pPr>
              <w:pStyle w:val="Compact"/>
              <w:jc w:val="left"/>
            </w:pPr>
            <m:oMath>
              <m:sSub>
                <m:e>
                  <m:r>
                    <m:t>ϕ</m:t>
                  </m:r>
                </m:e>
                <m:sub>
                  <m:r>
                    <m:t>s</m:t>
                  </m:r>
                </m:sub>
              </m:sSub>
            </m:oMath>
          </w:p>
        </w:tc>
        <w:tc>
          <w:tcPr/>
          <w:p>
            <w:pPr>
              <w:pStyle w:val="Compact"/>
              <w:jc w:val="left"/>
            </w:pPr>
            <w:r>
              <w:t xml:space="preserve">Primacy scale</w:t>
            </w:r>
          </w:p>
        </w:tc>
        <w:tc>
          <w:tcPr/>
          <w:p>
            <w:pPr>
              <w:pStyle w:val="Compact"/>
              <w:jc w:val="left"/>
            </w:pPr>
            <m:oMath>
              <m:r>
                <m:rPr>
                  <m:sty m:val="p"/>
                </m:rPr>
                <m:t>(</m:t>
              </m:r>
              <m:r>
                <m:t>0</m:t>
              </m:r>
              <m:r>
                <m:rPr>
                  <m:sty m:val="p"/>
                </m:rPr>
                <m:t>,</m:t>
              </m:r>
              <m:r>
                <m:t>100</m:t>
              </m:r>
              <m:r>
                <m:rPr>
                  <m:sty m:val="p"/>
                </m:rPr>
                <m:t>]</m:t>
              </m:r>
            </m:oMath>
          </w:p>
        </w:tc>
      </w:tr>
      <w:tr>
        <w:tc>
          <w:tcPr/>
          <w:p>
            <w:pPr>
              <w:pStyle w:val="Compact"/>
              <w:jc w:val="left"/>
            </w:pPr>
            <m:oMath>
              <m:sSub>
                <m:e>
                  <m:r>
                    <m:t>ϕ</m:t>
                  </m:r>
                </m:e>
                <m:sub>
                  <m:r>
                    <m:t>d</m:t>
                  </m:r>
                </m:sub>
              </m:sSub>
            </m:oMath>
          </w:p>
        </w:tc>
        <w:tc>
          <w:tcPr/>
          <w:p>
            <w:pPr>
              <w:pStyle w:val="Compact"/>
              <w:jc w:val="left"/>
            </w:pPr>
            <w:r>
              <w:t xml:space="preserve">Primacy decay</w:t>
            </w:r>
          </w:p>
        </w:tc>
        <w:tc>
          <w:tcPr/>
          <w:p>
            <w:pPr>
              <w:pStyle w:val="Compact"/>
              <w:jc w:val="left"/>
            </w:pPr>
            <m:oMath>
              <m:r>
                <m:rPr>
                  <m:sty m:val="p"/>
                </m:rPr>
                <m:t>(</m:t>
              </m:r>
              <m:r>
                <m:t>0</m:t>
              </m:r>
              <m:r>
                <m:rPr>
                  <m:sty m:val="p"/>
                </m:rPr>
                <m:t>,</m:t>
              </m:r>
              <m:r>
                <m:t>100</m:t>
              </m:r>
              <m:r>
                <m:rPr>
                  <m:sty m:val="p"/>
                </m:rPr>
                <m:t>]</m:t>
              </m:r>
            </m:oMath>
          </w:p>
        </w:tc>
      </w:tr>
      <w:tr>
        <w:tc>
          <w:tcPr/>
          <w:p>
            <w:pPr>
              <w:pStyle w:val="Compact"/>
              <w:jc w:val="left"/>
            </w:pPr>
            <m:oMath>
              <m:sSub>
                <m:e>
                  <m:r>
                    <m:t>τ</m:t>
                  </m:r>
                </m:e>
                <m:sub>
                  <m:r>
                    <m:t>c</m:t>
                  </m:r>
                </m:sub>
              </m:sSub>
            </m:oMath>
          </w:p>
        </w:tc>
        <w:tc>
          <w:tcPr/>
          <w:p>
            <w:pPr>
              <w:pStyle w:val="Compact"/>
              <w:jc w:val="left"/>
            </w:pPr>
            <w:r>
              <w:t xml:space="preserve">Sensitivity of recall choices to activation</w:t>
            </w:r>
          </w:p>
        </w:tc>
        <w:tc>
          <w:tcPr/>
          <w:p>
            <w:pPr>
              <w:pStyle w:val="Compact"/>
              <w:jc w:val="left"/>
            </w:pPr>
            <m:oMath>
              <m:r>
                <m:rPr>
                  <m:sty m:val="p"/>
                </m:rPr>
                <m:t>(</m:t>
              </m:r>
              <m:r>
                <m:t>0</m:t>
              </m:r>
              <m:r>
                <m:rPr>
                  <m:sty m:val="p"/>
                </m:rPr>
                <m:t>,</m:t>
              </m:r>
              <m:r>
                <m:t>100</m:t>
              </m:r>
              <m:r>
                <m:rPr>
                  <m:sty m:val="p"/>
                </m:rPr>
                <m:t>]</m:t>
              </m:r>
            </m:oMath>
          </w:p>
        </w:tc>
      </w:tr>
      <w:tr>
        <w:tc>
          <w:tcPr/>
          <w:p>
            <w:pPr>
              <w:pStyle w:val="Compact"/>
              <w:jc w:val="left"/>
            </w:pPr>
            <m:oMath>
              <m:r>
                <m:t>ω</m:t>
              </m:r>
            </m:oMath>
          </w:p>
        </w:tc>
        <w:tc>
          <w:tcPr/>
          <w:p>
            <w:pPr>
              <w:pStyle w:val="Compact"/>
              <w:jc w:val="left"/>
            </w:pPr>
            <w:r>
              <w:t xml:space="preserve">Source learning relative to temporal learning</w:t>
            </w:r>
          </w:p>
        </w:tc>
        <w:tc>
          <w:tcPr/>
          <w:p>
            <w:pPr>
              <w:pStyle w:val="Compact"/>
              <w:jc w:val="left"/>
            </w:pPr>
            <m:oMath>
              <m:r>
                <m:rPr>
                  <m:sty m:val="p"/>
                </m:rPr>
                <m:t>(</m:t>
              </m:r>
              <m:r>
                <m:t>0</m:t>
              </m:r>
              <m:r>
                <m:rPr>
                  <m:sty m:val="p"/>
                </m:rPr>
                <m:t>,</m:t>
              </m:r>
              <m:r>
                <m:t>10</m:t>
              </m:r>
              <m:r>
                <m:rPr>
                  <m:sty m:val="p"/>
                </m:rPr>
                <m:t>]</m:t>
              </m:r>
            </m:oMath>
          </w:p>
        </w:tc>
      </w:tr>
      <w:tr>
        <w:tc>
          <w:tcPr/>
          <w:p>
            <w:pPr>
              <w:pStyle w:val="Compact"/>
              <w:jc w:val="left"/>
            </w:pPr>
            <m:oMath>
              <m:sSub>
                <m:e>
                  <m:r>
                    <m:t>ϕ</m:t>
                  </m:r>
                </m:e>
                <m:sub>
                  <m:r>
                    <m:rPr>
                      <m:sty m:val="p"/>
                    </m:rPr>
                    <m:t>e</m:t>
                  </m:r>
                  <m:r>
                    <m:rPr>
                      <m:sty m:val="p"/>
                    </m:rPr>
                    <m:t>m</m:t>
                  </m:r>
                  <m:r>
                    <m:rPr>
                      <m:sty m:val="p"/>
                    </m:rPr>
                    <m:t>o</m:t>
                  </m:r>
                  <m:r>
                    <m:rPr>
                      <m:sty m:val="p"/>
                    </m:rPr>
                    <m:t>t</m:t>
                  </m:r>
                </m:sub>
              </m:sSub>
            </m:oMath>
          </w:p>
        </w:tc>
        <w:tc>
          <w:tcPr/>
          <w:p>
            <w:pPr>
              <w:pStyle w:val="Compact"/>
              <w:jc w:val="left"/>
            </w:pPr>
            <w:r>
              <w:t xml:space="preserve">Multiplier on source learning for emotional items</w:t>
            </w:r>
          </w:p>
        </w:tc>
        <w:tc>
          <w:tcPr/>
          <w:p>
            <w:pPr>
              <w:pStyle w:val="Compact"/>
              <w:jc w:val="left"/>
            </w:pPr>
            <m:oMath>
              <m:r>
                <m:t>1</m:t>
              </m:r>
            </m:oMath>
            <w:r>
              <w:t xml:space="preserve"> </w:t>
            </w:r>
            <w:r>
              <w:t xml:space="preserve">(fixed) or</w:t>
            </w:r>
            <w:r>
              <w:t xml:space="preserve"> </w:t>
            </w:r>
            <m:oMath>
              <m:r>
                <m:rPr>
                  <m:sty m:val="p"/>
                </m:rPr>
                <m:t>(</m:t>
              </m:r>
              <m:r>
                <m:t>0</m:t>
              </m:r>
              <m:r>
                <m:rPr>
                  <m:sty m:val="p"/>
                </m:rPr>
                <m:t>,</m:t>
              </m:r>
              <m:r>
                <m:t>10</m:t>
              </m:r>
              <m:r>
                <m:rPr>
                  <m:sty m:val="p"/>
                </m:rPr>
                <m:t>]</m:t>
              </m:r>
            </m:oMath>
          </w:p>
        </w:tc>
      </w:tr>
      <w:tr>
        <w:tc>
          <w:tcPr/>
          <w:p>
            <w:pPr>
              <w:pStyle w:val="Compact"/>
              <w:jc w:val="left"/>
            </w:pPr>
            <m:oMath>
              <m:r>
                <m:t>κ</m:t>
              </m:r>
            </m:oMath>
          </w:p>
        </w:tc>
        <w:tc>
          <w:tcPr/>
          <w:p>
            <w:pPr>
              <w:pStyle w:val="Compact"/>
              <w:jc w:val="left"/>
            </w:pPr>
            <w:r>
              <w:t xml:space="preserve">Early LPP coefficient shared by emotional and neutral items</w:t>
            </w:r>
          </w:p>
        </w:tc>
        <w:tc>
          <w:tcPr/>
          <w:p>
            <w:pPr>
              <w:pStyle w:val="Compact"/>
              <w:jc w:val="left"/>
            </w:pPr>
            <m:oMath>
              <m:r>
                <m:t>0</m:t>
              </m:r>
            </m:oMath>
            <w:r>
              <w:t xml:space="preserve"> </w:t>
            </w:r>
            <w:r>
              <w:t xml:space="preserve">(fixed) or</w:t>
            </w:r>
            <w:r>
              <w:t xml:space="preserve"> </w:t>
            </w:r>
            <m:oMath>
              <m:d>
                <m:dPr>
                  <m:begChr m:val="["/>
                  <m:sepChr m:val=""/>
                  <m:endChr m:val="]"/>
                  <m:grow/>
                </m:dPr>
                <m:e>
                  <m:r>
                    <m:t>0</m:t>
                  </m:r>
                  <m:r>
                    <m:rPr>
                      <m:sty m:val="p"/>
                    </m:rPr>
                    <m:t>,</m:t>
                  </m:r>
                  <m:r>
                    <m:t>0.1923</m:t>
                  </m:r>
                </m:e>
              </m:d>
            </m:oMath>
          </w:p>
        </w:tc>
      </w:tr>
      <w:tr>
        <w:tc>
          <w:tcPr/>
          <w:p>
            <w:pPr>
              <w:pStyle w:val="Compact"/>
              <w:jc w:val="left"/>
            </w:pPr>
            <m:oMath>
              <m:sSub>
                <m:e>
                  <m:r>
                    <m:t>κ</m:t>
                  </m:r>
                </m:e>
                <m:sub>
                  <m:r>
                    <m:rPr>
                      <m:sty m:val="p"/>
                    </m:rPr>
                    <m:t>e</m:t>
                  </m:r>
                  <m:r>
                    <m:rPr>
                      <m:sty m:val="p"/>
                    </m:rPr>
                    <m:t>m</m:t>
                  </m:r>
                  <m:r>
                    <m:rPr>
                      <m:sty m:val="p"/>
                    </m:rPr>
                    <m:t>o</m:t>
                  </m:r>
                  <m:r>
                    <m:rPr>
                      <m:sty m:val="p"/>
                    </m:rPr>
                    <m:t>t</m:t>
                  </m:r>
                </m:sub>
              </m:sSub>
            </m:oMath>
          </w:p>
        </w:tc>
        <w:tc>
          <w:tcPr/>
          <w:p>
            <w:pPr>
              <w:pStyle w:val="Compact"/>
              <w:jc w:val="left"/>
            </w:pPr>
            <w:r>
              <w:t xml:space="preserve">Additional Early LPP coefficient for emotional items</w:t>
            </w:r>
          </w:p>
        </w:tc>
        <w:tc>
          <w:tcPr/>
          <w:p>
            <w:pPr>
              <w:pStyle w:val="Compact"/>
              <w:jc w:val="left"/>
            </w:pPr>
            <m:oMath>
              <m:r>
                <m:t>0</m:t>
              </m:r>
            </m:oMath>
            <w:r>
              <w:t xml:space="preserve"> </w:t>
            </w:r>
            <w:r>
              <w:t xml:space="preserve">(fixed) or</w:t>
            </w:r>
            <w:r>
              <w:t xml:space="preserve"> </w:t>
            </w:r>
            <m:oMath>
              <m:d>
                <m:dPr>
                  <m:begChr m:val="["/>
                  <m:sepChr m:val=""/>
                  <m:endChr m:val="]"/>
                  <m:grow/>
                </m:dPr>
                <m:e>
                  <m:r>
                    <m:t>0</m:t>
                  </m:r>
                  <m:r>
                    <m:rPr>
                      <m:sty m:val="p"/>
                    </m:rPr>
                    <m:t>,</m:t>
                  </m:r>
                  <m:r>
                    <m:t>0.1923</m:t>
                  </m:r>
                </m:e>
              </m:d>
            </m:oMath>
          </w:p>
        </w:tc>
      </w:tr>
    </w:tbl>
    <w:bookmarkEnd w:id="170"/>
    <w:bookmarkEnd w:id="171"/>
    <w:p>
      <w:r>
        <w:br w:type="page"/>
      </w:r>
    </w:p>
    <w:bookmarkStart w:id="173" w:name="tbl-model-fit"/>
    <w:p>
      <w:pPr>
        <w:pStyle w:val="FigureTitle"/>
      </w:pPr>
      <w:r>
        <w:t xml:space="preserve">Table 2</w:t>
      </w:r>
    </w:p>
    <w:p>
      <w:pPr>
        <w:pStyle w:val="Caption"/>
      </w:pPr>
      <w:r>
        <w:t xml:space="preserve">Pooled fit of the eight eCMR model variants.</w:t>
      </w:r>
    </w:p>
    <w:bookmarkStart w:id="172" w:name="tbl-model"/>
    <w:tbl>
      <w:tblPr>
        <w:tblStyle w:val="Table"/>
        <w:tblW w:type="pct" w:w="5000"/>
        <w:tblLayout w:type="fixed"/>
        <w:tblLook w:firstRow="1" w:lastRow="0" w:firstColumn="0" w:lastColumn="0" w:noHBand="0" w:noVBand="0" w:val="0020"/>
      </w:tblPr>
      <w:tblGrid>
        <w:gridCol w:w="1667"/>
        <w:gridCol w:w="1250"/>
        <w:gridCol w:w="1250"/>
        <w:gridCol w:w="1250"/>
        <w:gridCol w:w="1250"/>
        <w:gridCol w:w="1250"/>
      </w:tblGrid>
      <w:tr>
        <w:trPr>
          <w:tblHeader w:val="on"/>
        </w:trPr>
        <w:tc>
          <w:tcPr/>
          <w:p>
            <w:pPr>
              <w:pStyle w:val="Compact"/>
              <w:jc w:val="center"/>
            </w:pPr>
            <w:r>
              <w:t xml:space="preserve">Preferential emotional learning</w:t>
            </w:r>
          </w:p>
        </w:tc>
        <w:tc>
          <w:tcPr/>
          <w:p>
            <w:pPr>
              <w:pStyle w:val="Compact"/>
              <w:jc w:val="left"/>
            </w:pPr>
            <w:r>
              <w:t xml:space="preserve">Early LPP specification</w:t>
            </w:r>
          </w:p>
        </w:tc>
        <w:tc>
          <w:tcPr/>
          <w:p>
            <w:pPr>
              <w:pStyle w:val="Compact"/>
              <w:jc w:val="right"/>
            </w:pPr>
            <m:oMath>
              <m:r>
                <m:t>p</m:t>
              </m:r>
            </m:oMath>
          </w:p>
        </w:tc>
        <w:tc>
          <w:tcPr/>
          <w:p>
            <w:pPr>
              <w:pStyle w:val="Compact"/>
              <w:jc w:val="right"/>
            </w:pPr>
            <w:r>
              <w:t xml:space="preserve">NLL</w:t>
            </w:r>
          </w:p>
        </w:tc>
        <w:tc>
          <w:tcPr/>
          <w:p>
            <w:pPr>
              <w:pStyle w:val="Compact"/>
              <w:jc w:val="right"/>
            </w:pPr>
            <w:r>
              <w:t xml:space="preserve">AIC</w:t>
            </w:r>
          </w:p>
        </w:tc>
        <w:tc>
          <w:tcPr/>
          <w:p>
            <w:pPr>
              <w:pStyle w:val="Compact"/>
              <w:jc w:val="right"/>
            </w:pPr>
            <m:oMath>
              <m:r>
                <m:t>Δ</m:t>
              </m:r>
            </m:oMath>
            <w:r>
              <w:t xml:space="preserve">AIC</w:t>
            </w:r>
          </w:p>
        </w:tc>
      </w:tr>
      <w:tr>
        <w:tc>
          <w:tcPr/>
          <w:p>
            <w:pPr>
              <w:pStyle w:val="Compact"/>
              <w:jc w:val="center"/>
            </w:pPr>
            <w:r>
              <w:t xml:space="preserve">No</w:t>
            </w:r>
          </w:p>
        </w:tc>
        <w:tc>
          <w:tcPr/>
          <w:p>
            <w:pPr>
              <w:pStyle w:val="Compact"/>
              <w:jc w:val="left"/>
            </w:pPr>
            <w:r>
              <w:t xml:space="preserve">None</w:t>
            </w:r>
          </w:p>
        </w:tc>
        <w:tc>
          <w:tcPr/>
          <w:p>
            <w:pPr>
              <w:pStyle w:val="Compact"/>
              <w:jc w:val="right"/>
            </w:pPr>
            <w:r>
              <w:t xml:space="preserve">11</w:t>
            </w:r>
          </w:p>
        </w:tc>
        <w:tc>
          <w:tcPr/>
          <w:p>
            <w:pPr>
              <w:pStyle w:val="Compact"/>
              <w:jc w:val="right"/>
            </w:pPr>
            <w:r>
              <w:t xml:space="preserve">8312.402</w:t>
            </w:r>
          </w:p>
        </w:tc>
        <w:tc>
          <w:tcPr/>
          <w:p>
            <w:pPr>
              <w:pStyle w:val="Compact"/>
              <w:jc w:val="right"/>
            </w:pPr>
            <w:r>
              <w:t xml:space="preserve">16646.805</w:t>
            </w:r>
          </w:p>
        </w:tc>
        <w:tc>
          <w:tcPr/>
          <w:p>
            <w:pPr>
              <w:pStyle w:val="Compact"/>
              <w:jc w:val="right"/>
            </w:pPr>
            <w:r>
              <w:t xml:space="preserve">133.904</w:t>
            </w:r>
          </w:p>
        </w:tc>
      </w:tr>
      <w:tr>
        <w:tc>
          <w:tcPr/>
          <w:p>
            <w:pPr>
              <w:pStyle w:val="Compact"/>
              <w:jc w:val="center"/>
            </w:pPr>
            <w:r>
              <w:t xml:space="preserve">No</w:t>
            </w:r>
          </w:p>
        </w:tc>
        <w:tc>
          <w:tcPr/>
          <w:p>
            <w:pPr>
              <w:pStyle w:val="Compact"/>
              <w:jc w:val="left"/>
            </w:pPr>
            <w:r>
              <w:t xml:space="preserve">General</w:t>
            </w:r>
          </w:p>
        </w:tc>
        <w:tc>
          <w:tcPr/>
          <w:p>
            <w:pPr>
              <w:pStyle w:val="Compact"/>
              <w:jc w:val="right"/>
            </w:pPr>
            <w:r>
              <w:t xml:space="preserve">12</w:t>
            </w:r>
          </w:p>
        </w:tc>
        <w:tc>
          <w:tcPr/>
          <w:p>
            <w:pPr>
              <w:pStyle w:val="Compact"/>
              <w:jc w:val="right"/>
            </w:pPr>
            <w:r>
              <w:t xml:space="preserve">8300.539</w:t>
            </w:r>
          </w:p>
        </w:tc>
        <w:tc>
          <w:tcPr/>
          <w:p>
            <w:pPr>
              <w:pStyle w:val="Compact"/>
              <w:jc w:val="right"/>
            </w:pPr>
            <w:r>
              <w:t xml:space="preserve">16625.078</w:t>
            </w:r>
          </w:p>
        </w:tc>
        <w:tc>
          <w:tcPr/>
          <w:p>
            <w:pPr>
              <w:pStyle w:val="Compact"/>
              <w:jc w:val="right"/>
            </w:pPr>
            <w:r>
              <w:t xml:space="preserve">112.178</w:t>
            </w:r>
          </w:p>
        </w:tc>
      </w:tr>
      <w:tr>
        <w:tc>
          <w:tcPr/>
          <w:p>
            <w:pPr>
              <w:pStyle w:val="Compact"/>
              <w:jc w:val="center"/>
            </w:pPr>
            <w:r>
              <w:t xml:space="preserve">No</w:t>
            </w:r>
          </w:p>
        </w:tc>
        <w:tc>
          <w:tcPr/>
          <w:p>
            <w:pPr>
              <w:pStyle w:val="Compact"/>
              <w:jc w:val="left"/>
            </w:pPr>
            <w:r>
              <w:t xml:space="preserve">Emotion-dependent</w:t>
            </w:r>
          </w:p>
        </w:tc>
        <w:tc>
          <w:tcPr/>
          <w:p>
            <w:pPr>
              <w:pStyle w:val="Compact"/>
              <w:jc w:val="right"/>
            </w:pPr>
            <w:r>
              <w:t xml:space="preserve">12</w:t>
            </w:r>
          </w:p>
        </w:tc>
        <w:tc>
          <w:tcPr/>
          <w:p>
            <w:pPr>
              <w:pStyle w:val="Compact"/>
              <w:jc w:val="right"/>
            </w:pPr>
            <w:r>
              <w:t xml:space="preserve">8275.468</w:t>
            </w:r>
          </w:p>
        </w:tc>
        <w:tc>
          <w:tcPr/>
          <w:p>
            <w:pPr>
              <w:pStyle w:val="Compact"/>
              <w:jc w:val="right"/>
            </w:pPr>
            <w:r>
              <w:t xml:space="preserve">16574.936</w:t>
            </w:r>
          </w:p>
        </w:tc>
        <w:tc>
          <w:tcPr/>
          <w:p>
            <w:pPr>
              <w:pStyle w:val="Compact"/>
              <w:jc w:val="right"/>
            </w:pPr>
            <w:r>
              <w:t xml:space="preserve">62.035</w:t>
            </w:r>
          </w:p>
        </w:tc>
      </w:tr>
      <w:tr>
        <w:tc>
          <w:tcPr/>
          <w:p>
            <w:pPr>
              <w:pStyle w:val="Compact"/>
              <w:jc w:val="center"/>
            </w:pPr>
            <w:r>
              <w:t xml:space="preserve">No</w:t>
            </w:r>
          </w:p>
        </w:tc>
        <w:tc>
          <w:tcPr/>
          <w:p>
            <w:pPr>
              <w:pStyle w:val="Compact"/>
              <w:jc w:val="left"/>
            </w:pPr>
            <w:r>
              <w:t xml:space="preserve">Combined</w:t>
            </w:r>
            <w:r>
              <w:rPr>
                <w:vertAlign w:val="superscript"/>
              </w:rPr>
              <w:t xml:space="preserve">a</w:t>
            </w:r>
          </w:p>
        </w:tc>
        <w:tc>
          <w:tcPr/>
          <w:p>
            <w:pPr>
              <w:pStyle w:val="Compact"/>
              <w:jc w:val="right"/>
            </w:pPr>
            <w:r>
              <w:t xml:space="preserve">13</w:t>
            </w:r>
          </w:p>
        </w:tc>
        <w:tc>
          <w:tcPr/>
          <w:p>
            <w:pPr>
              <w:pStyle w:val="Compact"/>
              <w:jc w:val="right"/>
            </w:pPr>
            <w:r>
              <w:t xml:space="preserve">8275.468</w:t>
            </w:r>
          </w:p>
        </w:tc>
        <w:tc>
          <w:tcPr/>
          <w:p>
            <w:pPr>
              <w:pStyle w:val="Compact"/>
              <w:jc w:val="right"/>
            </w:pPr>
            <w:r>
              <w:t xml:space="preserve">16576.936</w:t>
            </w:r>
          </w:p>
        </w:tc>
        <w:tc>
          <w:tcPr/>
          <w:p>
            <w:pPr>
              <w:pStyle w:val="Compact"/>
              <w:jc w:val="right"/>
            </w:pPr>
            <w:r>
              <w:t xml:space="preserve">64.035</w:t>
            </w:r>
          </w:p>
        </w:tc>
      </w:tr>
      <w:tr>
        <w:tc>
          <w:tcPr/>
          <w:p>
            <w:pPr>
              <w:pStyle w:val="Compact"/>
              <w:jc w:val="center"/>
            </w:pPr>
            <w:r>
              <w:t xml:space="preserve">Yes</w:t>
            </w:r>
          </w:p>
        </w:tc>
        <w:tc>
          <w:tcPr/>
          <w:p>
            <w:pPr>
              <w:pStyle w:val="Compact"/>
              <w:jc w:val="left"/>
            </w:pPr>
            <w:r>
              <w:t xml:space="preserve">None</w:t>
            </w:r>
          </w:p>
        </w:tc>
        <w:tc>
          <w:tcPr/>
          <w:p>
            <w:pPr>
              <w:pStyle w:val="Compact"/>
              <w:jc w:val="right"/>
            </w:pPr>
            <w:r>
              <w:t xml:space="preserve">12</w:t>
            </w:r>
          </w:p>
        </w:tc>
        <w:tc>
          <w:tcPr/>
          <w:p>
            <w:pPr>
              <w:pStyle w:val="Compact"/>
              <w:jc w:val="right"/>
            </w:pPr>
            <w:r>
              <w:t xml:space="preserve">8258.461</w:t>
            </w:r>
          </w:p>
        </w:tc>
        <w:tc>
          <w:tcPr/>
          <w:p>
            <w:pPr>
              <w:pStyle w:val="Compact"/>
              <w:jc w:val="right"/>
            </w:pPr>
            <w:r>
              <w:t xml:space="preserve">16540.922</w:t>
            </w:r>
          </w:p>
        </w:tc>
        <w:tc>
          <w:tcPr/>
          <w:p>
            <w:pPr>
              <w:pStyle w:val="Compact"/>
              <w:jc w:val="right"/>
            </w:pPr>
            <w:r>
              <w:t xml:space="preserve">28.021</w:t>
            </w:r>
          </w:p>
        </w:tc>
      </w:tr>
      <w:tr>
        <w:tc>
          <w:tcPr/>
          <w:p>
            <w:pPr>
              <w:pStyle w:val="Compact"/>
              <w:jc w:val="center"/>
            </w:pPr>
            <w:r>
              <w:t xml:space="preserve">Yes</w:t>
            </w:r>
          </w:p>
        </w:tc>
        <w:tc>
          <w:tcPr/>
          <w:p>
            <w:pPr>
              <w:pStyle w:val="Compact"/>
              <w:jc w:val="left"/>
            </w:pPr>
            <w:r>
              <w:t xml:space="preserve">General</w:t>
            </w:r>
          </w:p>
        </w:tc>
        <w:tc>
          <w:tcPr/>
          <w:p>
            <w:pPr>
              <w:pStyle w:val="Compact"/>
              <w:jc w:val="right"/>
            </w:pPr>
            <w:r>
              <w:t xml:space="preserve">13</w:t>
            </w:r>
          </w:p>
        </w:tc>
        <w:tc>
          <w:tcPr/>
          <w:p>
            <w:pPr>
              <w:pStyle w:val="Compact"/>
              <w:jc w:val="right"/>
            </w:pPr>
            <w:r>
              <w:t xml:space="preserve">8245.998</w:t>
            </w:r>
          </w:p>
        </w:tc>
        <w:tc>
          <w:tcPr/>
          <w:p>
            <w:pPr>
              <w:pStyle w:val="Compact"/>
              <w:jc w:val="right"/>
            </w:pPr>
            <w:r>
              <w:t xml:space="preserve">16517.996</w:t>
            </w:r>
          </w:p>
        </w:tc>
        <w:tc>
          <w:tcPr/>
          <w:p>
            <w:pPr>
              <w:pStyle w:val="Compact"/>
              <w:jc w:val="right"/>
            </w:pPr>
            <w:r>
              <w:t xml:space="preserve">5.096</w:t>
            </w:r>
          </w:p>
        </w:tc>
      </w:tr>
      <w:tr>
        <w:tc>
          <w:tcPr/>
          <w:p>
            <w:pPr>
              <w:pStyle w:val="Compact"/>
              <w:jc w:val="center"/>
            </w:pPr>
            <w:r>
              <w:rPr>
                <w:b/>
                <w:bCs/>
              </w:rPr>
              <w:t xml:space="preserve">Yes</w:t>
            </w:r>
          </w:p>
        </w:tc>
        <w:tc>
          <w:tcPr/>
          <w:p>
            <w:pPr>
              <w:pStyle w:val="Compact"/>
              <w:jc w:val="left"/>
            </w:pPr>
            <w:r>
              <w:rPr>
                <w:b/>
                <w:bCs/>
              </w:rPr>
              <w:t xml:space="preserve">Emotion-dependent</w:t>
            </w:r>
          </w:p>
        </w:tc>
        <w:tc>
          <w:tcPr/>
          <w:p>
            <w:pPr>
              <w:pStyle w:val="Compact"/>
              <w:jc w:val="right"/>
            </w:pPr>
            <w:r>
              <w:rPr>
                <w:b/>
                <w:bCs/>
              </w:rPr>
              <w:t xml:space="preserve">13</w:t>
            </w:r>
          </w:p>
        </w:tc>
        <w:tc>
          <w:tcPr/>
          <w:p>
            <w:pPr>
              <w:pStyle w:val="Compact"/>
              <w:jc w:val="right"/>
            </w:pPr>
            <w:r>
              <w:rPr>
                <w:b/>
                <w:bCs/>
              </w:rPr>
              <w:t xml:space="preserve">8243.450</w:t>
            </w:r>
          </w:p>
        </w:tc>
        <w:tc>
          <w:tcPr/>
          <w:p>
            <w:pPr>
              <w:pStyle w:val="Compact"/>
              <w:jc w:val="right"/>
            </w:pPr>
            <w:r>
              <w:rPr>
                <w:b/>
                <w:bCs/>
              </w:rPr>
              <w:t xml:space="preserve">16512.900</w:t>
            </w:r>
          </w:p>
        </w:tc>
        <w:tc>
          <w:tcPr/>
          <w:p>
            <w:pPr>
              <w:pStyle w:val="Compact"/>
              <w:jc w:val="right"/>
            </w:pPr>
            <w:r>
              <w:rPr>
                <w:b/>
                <w:bCs/>
              </w:rPr>
              <w:t xml:space="preserve">0.000</w:t>
            </w:r>
          </w:p>
        </w:tc>
      </w:tr>
      <w:tr>
        <w:tc>
          <w:tcPr/>
          <w:p>
            <w:pPr>
              <w:pStyle w:val="Compact"/>
              <w:jc w:val="center"/>
            </w:pPr>
            <w:r>
              <w:t xml:space="preserve">Yes</w:t>
            </w:r>
          </w:p>
        </w:tc>
        <w:tc>
          <w:tcPr/>
          <w:p>
            <w:pPr>
              <w:pStyle w:val="Compact"/>
              <w:jc w:val="left"/>
            </w:pPr>
            <w:r>
              <w:t xml:space="preserve">Combined</w:t>
            </w:r>
            <w:r>
              <w:rPr>
                <w:vertAlign w:val="superscript"/>
              </w:rPr>
              <w:t xml:space="preserve">a</w:t>
            </w:r>
          </w:p>
        </w:tc>
        <w:tc>
          <w:tcPr/>
          <w:p>
            <w:pPr>
              <w:pStyle w:val="Compact"/>
              <w:jc w:val="right"/>
            </w:pPr>
            <w:r>
              <w:t xml:space="preserve">14</w:t>
            </w:r>
          </w:p>
        </w:tc>
        <w:tc>
          <w:tcPr/>
          <w:p>
            <w:pPr>
              <w:pStyle w:val="Compact"/>
              <w:jc w:val="right"/>
            </w:pPr>
            <w:r>
              <w:t xml:space="preserve">8243.450</w:t>
            </w:r>
          </w:p>
        </w:tc>
        <w:tc>
          <w:tcPr/>
          <w:p>
            <w:pPr>
              <w:pStyle w:val="Compact"/>
              <w:jc w:val="right"/>
            </w:pPr>
            <w:r>
              <w:t xml:space="preserve">16514.900</w:t>
            </w:r>
          </w:p>
        </w:tc>
        <w:tc>
          <w:tcPr/>
          <w:p>
            <w:pPr>
              <w:pStyle w:val="Compact"/>
              <w:jc w:val="right"/>
            </w:pPr>
            <w:r>
              <w:t xml:space="preserve">2.000</w:t>
            </w:r>
          </w:p>
        </w:tc>
      </w:tr>
    </w:tbl>
    <w:bookmarkEnd w:id="172"/>
    <w:bookmarkEnd w:id="173"/>
    <w:p>
      <w:pPr>
        <w:pStyle w:val="FigureNote"/>
      </w:pPr>
      <w:r>
        <w:rPr>
          <w:i/>
          <w:iCs/>
        </w:rPr>
        <w:t xml:space="preserve">Note</w:t>
      </w:r>
      <w:r>
        <w:t xml:space="preserve">. No indicates that the emotional learning multiplier was fixed at 1; Yes indicates that it was estimated. p is the number of free parameters; NLL is the retained negative log-likelihood; ΔAIC is relative to the lowest AIC. Bold identifies the lowest-AIC model. ᵃ For both Combined LPP models, the direct searches did not improve upon the corresponding Emotion-dependent solution, so that nested solution was retained; p and AIC nevertheless include the Combined LPP model’s additional parameter.</w:t>
      </w:r>
    </w:p>
    <w:p>
      <w:r>
        <w:br w:type="page"/>
      </w:r>
    </w:p>
    <w:bookmarkStart w:id="175" w:name="tbl-model-diagnostic-effects"/>
    <w:p>
      <w:pPr>
        <w:pStyle w:val="FigureTitle"/>
      </w:pPr>
      <w:r>
        <w:t xml:space="preserve">Table 2</w:t>
      </w:r>
    </w:p>
    <w:p>
      <w:pPr>
        <w:pStyle w:val="Caption"/>
      </w:pPr>
      <w:r>
        <w:t xml:space="preserve">Observed and model-predicted contrasts in recall rate and standardized Early LPP.</w:t>
      </w:r>
    </w:p>
    <w:bookmarkStart w:id="174" w:name="tbl-model"/>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eCMR specification</w:t>
            </w:r>
          </w:p>
        </w:tc>
        <w:tc>
          <w:tcPr/>
          <w:p>
            <w:pPr>
              <w:pStyle w:val="Compact"/>
              <w:jc w:val="right"/>
            </w:pPr>
            <w:r>
              <w:t xml:space="preserve">Recall rate: Emotional</w:t>
            </w:r>
            <w:r>
              <w:t xml:space="preserve"> </w:t>
            </w:r>
            <m:oMath>
              <m:r>
                <m:rPr>
                  <m:sty m:val="p"/>
                </m:rPr>
                <m:t>−</m:t>
              </m:r>
            </m:oMath>
            <w:r>
              <w:t xml:space="preserve"> </w:t>
            </w:r>
            <w:r>
              <w:t xml:space="preserve">Neutral</w:t>
            </w:r>
          </w:p>
        </w:tc>
        <w:tc>
          <w:tcPr/>
          <w:p>
            <w:pPr>
              <w:pStyle w:val="Compact"/>
              <w:jc w:val="right"/>
            </w:pPr>
            <w:r>
              <w:t xml:space="preserve">Early LPP: Remembered</w:t>
            </w:r>
            <w:r>
              <w:t xml:space="preserve"> </w:t>
            </w:r>
            <m:oMath>
              <m:r>
                <m:rPr>
                  <m:sty m:val="p"/>
                </m:rPr>
                <m:t>−</m:t>
              </m:r>
            </m:oMath>
            <w:r>
              <w:t xml:space="preserve"> </w:t>
            </w:r>
            <w:r>
              <w:t xml:space="preserve">Forgotten, Emotional items</w:t>
            </w:r>
          </w:p>
        </w:tc>
        <w:tc>
          <w:tcPr/>
          <w:p>
            <w:pPr>
              <w:pStyle w:val="Compact"/>
              <w:jc w:val="right"/>
            </w:pPr>
            <w:r>
              <w:t xml:space="preserve">Early LPP: Remembered</w:t>
            </w:r>
            <w:r>
              <w:t xml:space="preserve"> </w:t>
            </w:r>
            <m:oMath>
              <m:r>
                <m:rPr>
                  <m:sty m:val="p"/>
                </m:rPr>
                <m:t>−</m:t>
              </m:r>
            </m:oMath>
            <w:r>
              <w:t xml:space="preserve"> </w:t>
            </w:r>
            <w:r>
              <w:t xml:space="preserve">Forgotten, Neutral items</w:t>
            </w:r>
          </w:p>
        </w:tc>
        <w:tc>
          <w:tcPr/>
          <w:p>
            <w:pPr>
              <w:pStyle w:val="Compact"/>
              <w:jc w:val="right"/>
            </w:pPr>
            <w:r>
              <w:t xml:space="preserve">Difference between Early LPP memory effects: Emotional</w:t>
            </w:r>
            <w:r>
              <w:t xml:space="preserve"> </w:t>
            </w:r>
            <m:oMath>
              <m:r>
                <m:rPr>
                  <m:sty m:val="p"/>
                </m:rPr>
                <m:t>−</m:t>
              </m:r>
            </m:oMath>
            <w:r>
              <w:t xml:space="preserve"> </w:t>
            </w:r>
            <w:r>
              <w:t xml:space="preserve">Neutral</w:t>
            </w:r>
          </w:p>
        </w:tc>
      </w:tr>
      <w:tr>
        <w:tc>
          <w:tcPr/>
          <w:p>
            <w:pPr>
              <w:pStyle w:val="Compact"/>
              <w:jc w:val="left"/>
            </w:pPr>
            <w:r>
              <w:t xml:space="preserve">Observed data</w:t>
            </w:r>
          </w:p>
        </w:tc>
        <w:tc>
          <w:tcPr/>
          <w:p>
            <w:pPr>
              <w:pStyle w:val="Compact"/>
              <w:jc w:val="right"/>
            </w:pPr>
            <w:r>
              <w:t xml:space="preserve">0.124</w:t>
            </w:r>
          </w:p>
        </w:tc>
        <w:tc>
          <w:tcPr/>
          <w:p>
            <w:pPr>
              <w:pStyle w:val="Compact"/>
              <w:jc w:val="right"/>
            </w:pPr>
            <w:r>
              <w:t xml:space="preserve">0.455</w:t>
            </w:r>
          </w:p>
        </w:tc>
        <w:tc>
          <w:tcPr/>
          <w:p>
            <w:pPr>
              <w:pStyle w:val="Compact"/>
              <w:jc w:val="right"/>
            </w:pPr>
            <w:r>
              <w:t xml:space="preserve">0.035</w:t>
            </w:r>
          </w:p>
        </w:tc>
        <w:tc>
          <w:tcPr/>
          <w:p>
            <w:pPr>
              <w:pStyle w:val="Compact"/>
              <w:jc w:val="right"/>
            </w:pPr>
            <w:r>
              <w:t xml:space="preserve">0.420</w:t>
            </w:r>
          </w:p>
        </w:tc>
      </w:tr>
      <w:tr>
        <w:tc>
          <w:tcPr/>
          <w:p>
            <w:pPr>
              <w:pStyle w:val="Compact"/>
              <w:jc w:val="left"/>
            </w:pPr>
            <w:r>
              <w:t xml:space="preserve">No preferential learning + No LPP</w:t>
            </w:r>
          </w:p>
        </w:tc>
        <w:tc>
          <w:tcPr/>
          <w:p>
            <w:pPr>
              <w:pStyle w:val="Compact"/>
              <w:jc w:val="right"/>
            </w:pPr>
            <w:r>
              <w:t xml:space="preserve">0.000</w:t>
            </w:r>
            <w:r>
              <w:t xml:space="preserve"> </w:t>
            </w:r>
            <w:r>
              <w:rPr>
                <w:i/>
                <w:iCs/>
              </w:rPr>
              <w:t xml:space="preserve">(−0.124)</w:t>
            </w:r>
          </w:p>
        </w:tc>
        <w:tc>
          <w:tcPr/>
          <w:p>
            <w:pPr>
              <w:pStyle w:val="Compact"/>
              <w:jc w:val="right"/>
            </w:pPr>
            <w:r>
              <w:t xml:space="preserve">0.029</w:t>
            </w:r>
            <w:r>
              <w:t xml:space="preserve"> </w:t>
            </w:r>
            <w:r>
              <w:rPr>
                <w:i/>
                <w:iCs/>
              </w:rPr>
              <w:t xml:space="preserve">(−0.425)</w:t>
            </w:r>
          </w:p>
        </w:tc>
        <w:tc>
          <w:tcPr/>
          <w:p>
            <w:pPr>
              <w:pStyle w:val="Compact"/>
              <w:jc w:val="right"/>
            </w:pPr>
            <w:r>
              <w:t xml:space="preserve">0.009</w:t>
            </w:r>
            <w:r>
              <w:t xml:space="preserve"> </w:t>
            </w:r>
            <w:r>
              <w:rPr>
                <w:i/>
                <w:iCs/>
              </w:rPr>
              <w:t xml:space="preserve">(−0.026)</w:t>
            </w:r>
          </w:p>
        </w:tc>
        <w:tc>
          <w:tcPr/>
          <w:p>
            <w:pPr>
              <w:pStyle w:val="Compact"/>
              <w:jc w:val="right"/>
            </w:pPr>
            <w:r>
              <w:t xml:space="preserve">0.020</w:t>
            </w:r>
            <w:r>
              <w:t xml:space="preserve"> </w:t>
            </w:r>
            <w:r>
              <w:rPr>
                <w:i/>
                <w:iCs/>
              </w:rPr>
              <w:t xml:space="preserve">(−0.400)</w:t>
            </w:r>
          </w:p>
        </w:tc>
      </w:tr>
      <w:tr>
        <w:tc>
          <w:tcPr/>
          <w:p>
            <w:pPr>
              <w:pStyle w:val="Compact"/>
              <w:jc w:val="left"/>
            </w:pPr>
            <w:r>
              <w:t xml:space="preserve">No preferential learning + General LPP</w:t>
            </w:r>
          </w:p>
        </w:tc>
        <w:tc>
          <w:tcPr/>
          <w:p>
            <w:pPr>
              <w:pStyle w:val="Compact"/>
              <w:jc w:val="right"/>
            </w:pPr>
            <w:r>
              <w:t xml:space="preserve">0.006</w:t>
            </w:r>
            <w:r>
              <w:t xml:space="preserve"> </w:t>
            </w:r>
            <w:r>
              <w:rPr>
                <w:i/>
                <w:iCs/>
              </w:rPr>
              <w:t xml:space="preserve">(−0.118)</w:t>
            </w:r>
          </w:p>
        </w:tc>
        <w:tc>
          <w:tcPr/>
          <w:p>
            <w:pPr>
              <w:pStyle w:val="Compact"/>
              <w:jc w:val="right"/>
            </w:pPr>
            <w:r>
              <w:t xml:space="preserve">0.236</w:t>
            </w:r>
            <w:r>
              <w:t xml:space="preserve"> </w:t>
            </w:r>
            <w:r>
              <w:rPr>
                <w:i/>
                <w:iCs/>
              </w:rPr>
              <w:t xml:space="preserve">(−0.219)</w:t>
            </w:r>
          </w:p>
        </w:tc>
        <w:tc>
          <w:tcPr/>
          <w:p>
            <w:pPr>
              <w:pStyle w:val="Compact"/>
              <w:jc w:val="right"/>
            </w:pPr>
            <w:r>
              <w:t xml:space="preserve">0.194</w:t>
            </w:r>
            <w:r>
              <w:t xml:space="preserve"> </w:t>
            </w:r>
            <w:r>
              <w:rPr>
                <w:i/>
                <w:iCs/>
              </w:rPr>
              <w:t xml:space="preserve">(+0.159)</w:t>
            </w:r>
          </w:p>
        </w:tc>
        <w:tc>
          <w:tcPr/>
          <w:p>
            <w:pPr>
              <w:pStyle w:val="Compact"/>
              <w:jc w:val="right"/>
            </w:pPr>
            <w:r>
              <w:t xml:space="preserve">0.042</w:t>
            </w:r>
            <w:r>
              <w:t xml:space="preserve"> </w:t>
            </w:r>
            <w:r>
              <w:rPr>
                <w:i/>
                <w:iCs/>
              </w:rPr>
              <w:t xml:space="preserve">(−0.378)</w:t>
            </w:r>
          </w:p>
        </w:tc>
      </w:tr>
      <w:tr>
        <w:tc>
          <w:tcPr/>
          <w:p>
            <w:pPr>
              <w:pStyle w:val="Compact"/>
              <w:jc w:val="left"/>
            </w:pPr>
            <w:r>
              <w:t xml:space="preserve">No preferential learning + Emotion-dependent LPP</w:t>
            </w:r>
          </w:p>
        </w:tc>
        <w:tc>
          <w:tcPr/>
          <w:p>
            <w:pPr>
              <w:pStyle w:val="Compact"/>
              <w:jc w:val="right"/>
            </w:pPr>
            <w:r>
              <w:t xml:space="preserve">0.036</w:t>
            </w:r>
            <w:r>
              <w:t xml:space="preserve"> </w:t>
            </w:r>
            <w:r>
              <w:rPr>
                <w:i/>
                <w:iCs/>
              </w:rPr>
              <w:t xml:space="preserve">(−0.088)</w:t>
            </w:r>
          </w:p>
        </w:tc>
        <w:tc>
          <w:tcPr/>
          <w:p>
            <w:pPr>
              <w:pStyle w:val="Compact"/>
              <w:jc w:val="right"/>
            </w:pPr>
            <w:r>
              <w:t xml:space="preserve">0.530</w:t>
            </w:r>
            <w:r>
              <w:t xml:space="preserve"> </w:t>
            </w:r>
            <w:r>
              <w:rPr>
                <w:i/>
                <w:iCs/>
              </w:rPr>
              <w:t xml:space="preserve">(+0.076)</w:t>
            </w:r>
          </w:p>
        </w:tc>
        <w:tc>
          <w:tcPr/>
          <w:p>
            <w:pPr>
              <w:pStyle w:val="Compact"/>
              <w:jc w:val="right"/>
            </w:pPr>
            <w:r>
              <w:t xml:space="preserve">0.016</w:t>
            </w:r>
            <w:r>
              <w:t xml:space="preserve"> </w:t>
            </w:r>
            <w:r>
              <w:rPr>
                <w:i/>
                <w:iCs/>
              </w:rPr>
              <w:t xml:space="preserve">(−0.019)</w:t>
            </w:r>
          </w:p>
        </w:tc>
        <w:tc>
          <w:tcPr/>
          <w:p>
            <w:pPr>
              <w:pStyle w:val="Compact"/>
              <w:jc w:val="right"/>
            </w:pPr>
            <w:r>
              <w:t xml:space="preserve">0.515</w:t>
            </w:r>
            <w:r>
              <w:t xml:space="preserve"> </w:t>
            </w:r>
            <w:r>
              <w:rPr>
                <w:i/>
                <w:iCs/>
              </w:rPr>
              <w:t xml:space="preserve">(+0.095)</w:t>
            </w:r>
          </w:p>
        </w:tc>
      </w:tr>
      <w:tr>
        <w:tc>
          <w:tcPr/>
          <w:p>
            <w:pPr>
              <w:pStyle w:val="Compact"/>
              <w:jc w:val="left"/>
            </w:pPr>
            <w:r>
              <w:t xml:space="preserve">No preferential learning + Combined LPP</w:t>
            </w:r>
            <w:r>
              <w:rPr>
                <w:vertAlign w:val="superscript"/>
              </w:rPr>
              <w:t xml:space="preserve">a</w:t>
            </w:r>
          </w:p>
        </w:tc>
        <w:tc>
          <w:tcPr/>
          <w:p>
            <w:pPr>
              <w:pStyle w:val="Compact"/>
              <w:jc w:val="right"/>
            </w:pPr>
            <w:r>
              <w:t xml:space="preserve">0.036</w:t>
            </w:r>
            <w:r>
              <w:t xml:space="preserve"> </w:t>
            </w:r>
            <w:r>
              <w:rPr>
                <w:i/>
                <w:iCs/>
              </w:rPr>
              <w:t xml:space="preserve">(−0.088)</w:t>
            </w:r>
          </w:p>
        </w:tc>
        <w:tc>
          <w:tcPr/>
          <w:p>
            <w:pPr>
              <w:pStyle w:val="Compact"/>
              <w:jc w:val="right"/>
            </w:pPr>
            <w:r>
              <w:t xml:space="preserve">0.530</w:t>
            </w:r>
            <w:r>
              <w:t xml:space="preserve"> </w:t>
            </w:r>
            <w:r>
              <w:rPr>
                <w:i/>
                <w:iCs/>
              </w:rPr>
              <w:t xml:space="preserve">(+0.076)</w:t>
            </w:r>
          </w:p>
        </w:tc>
        <w:tc>
          <w:tcPr/>
          <w:p>
            <w:pPr>
              <w:pStyle w:val="Compact"/>
              <w:jc w:val="right"/>
            </w:pPr>
            <w:r>
              <w:t xml:space="preserve">0.016</w:t>
            </w:r>
            <w:r>
              <w:t xml:space="preserve"> </w:t>
            </w:r>
            <w:r>
              <w:rPr>
                <w:i/>
                <w:iCs/>
              </w:rPr>
              <w:t xml:space="preserve">(−0.019)</w:t>
            </w:r>
          </w:p>
        </w:tc>
        <w:tc>
          <w:tcPr/>
          <w:p>
            <w:pPr>
              <w:pStyle w:val="Compact"/>
              <w:jc w:val="right"/>
            </w:pPr>
            <w:r>
              <w:t xml:space="preserve">0.515</w:t>
            </w:r>
            <w:r>
              <w:t xml:space="preserve"> </w:t>
            </w:r>
            <w:r>
              <w:rPr>
                <w:i/>
                <w:iCs/>
              </w:rPr>
              <w:t xml:space="preserve">(+0.095)</w:t>
            </w:r>
          </w:p>
        </w:tc>
      </w:tr>
      <w:tr>
        <w:tc>
          <w:tcPr/>
          <w:p>
            <w:pPr>
              <w:pStyle w:val="Compact"/>
              <w:jc w:val="left"/>
            </w:pPr>
            <w:r>
              <w:t xml:space="preserve">Preferential learning + No LPP</w:t>
            </w:r>
          </w:p>
        </w:tc>
        <w:tc>
          <w:tcPr/>
          <w:p>
            <w:pPr>
              <w:pStyle w:val="Compact"/>
              <w:jc w:val="right"/>
            </w:pPr>
            <w:r>
              <w:t xml:space="preserve">0.131</w:t>
            </w:r>
            <w:r>
              <w:t xml:space="preserve"> </w:t>
            </w:r>
            <w:r>
              <w:rPr>
                <w:i/>
                <w:iCs/>
              </w:rPr>
              <w:t xml:space="preserve">(+0.007)</w:t>
            </w:r>
          </w:p>
        </w:tc>
        <w:tc>
          <w:tcPr/>
          <w:p>
            <w:pPr>
              <w:pStyle w:val="Compact"/>
              <w:jc w:val="right"/>
            </w:pPr>
            <w:r>
              <w:t xml:space="preserve">0.024</w:t>
            </w:r>
            <w:r>
              <w:t xml:space="preserve"> </w:t>
            </w:r>
            <w:r>
              <w:rPr>
                <w:i/>
                <w:iCs/>
              </w:rPr>
              <w:t xml:space="preserve">(−0.430)</w:t>
            </w:r>
          </w:p>
        </w:tc>
        <w:tc>
          <w:tcPr/>
          <w:p>
            <w:pPr>
              <w:pStyle w:val="Compact"/>
              <w:jc w:val="right"/>
            </w:pPr>
            <w:r>
              <w:t xml:space="preserve">0.010</w:t>
            </w:r>
            <w:r>
              <w:t xml:space="preserve"> </w:t>
            </w:r>
            <w:r>
              <w:rPr>
                <w:i/>
                <w:iCs/>
              </w:rPr>
              <w:t xml:space="preserve">(−0.025)</w:t>
            </w:r>
          </w:p>
        </w:tc>
        <w:tc>
          <w:tcPr/>
          <w:p>
            <w:pPr>
              <w:pStyle w:val="Compact"/>
              <w:jc w:val="right"/>
            </w:pPr>
            <w:r>
              <w:t xml:space="preserve">0.015</w:t>
            </w:r>
            <w:r>
              <w:t xml:space="preserve"> </w:t>
            </w:r>
            <w:r>
              <w:rPr>
                <w:i/>
                <w:iCs/>
              </w:rPr>
              <w:t xml:space="preserve">(−0.405)</w:t>
            </w:r>
          </w:p>
        </w:tc>
      </w:tr>
      <w:tr>
        <w:tc>
          <w:tcPr/>
          <w:p>
            <w:pPr>
              <w:pStyle w:val="Compact"/>
              <w:jc w:val="left"/>
            </w:pPr>
            <w:r>
              <w:t xml:space="preserve">Preferential learning + General LPP</w:t>
            </w:r>
          </w:p>
        </w:tc>
        <w:tc>
          <w:tcPr/>
          <w:p>
            <w:pPr>
              <w:pStyle w:val="Compact"/>
              <w:jc w:val="right"/>
            </w:pPr>
            <w:r>
              <w:t xml:space="preserve">0.128</w:t>
            </w:r>
            <w:r>
              <w:t xml:space="preserve"> </w:t>
            </w:r>
            <w:r>
              <w:rPr>
                <w:i/>
                <w:iCs/>
              </w:rPr>
              <w:t xml:space="preserve">(+0.004)</w:t>
            </w:r>
          </w:p>
        </w:tc>
        <w:tc>
          <w:tcPr/>
          <w:p>
            <w:pPr>
              <w:pStyle w:val="Compact"/>
              <w:jc w:val="right"/>
            </w:pPr>
            <w:r>
              <w:t xml:space="preserve">0.335</w:t>
            </w:r>
            <w:r>
              <w:t xml:space="preserve"> </w:t>
            </w:r>
            <w:r>
              <w:rPr>
                <w:i/>
                <w:iCs/>
              </w:rPr>
              <w:t xml:space="preserve">(−0.119)</w:t>
            </w:r>
          </w:p>
        </w:tc>
        <w:tc>
          <w:tcPr/>
          <w:p>
            <w:pPr>
              <w:pStyle w:val="Compact"/>
              <w:jc w:val="right"/>
            </w:pPr>
            <w:r>
              <w:t xml:space="preserve">0.148</w:t>
            </w:r>
            <w:r>
              <w:t xml:space="preserve"> </w:t>
            </w:r>
            <w:r>
              <w:rPr>
                <w:i/>
                <w:iCs/>
              </w:rPr>
              <w:t xml:space="preserve">(+0.114)</w:t>
            </w:r>
          </w:p>
        </w:tc>
        <w:tc>
          <w:tcPr/>
          <w:p>
            <w:pPr>
              <w:pStyle w:val="Compact"/>
              <w:jc w:val="right"/>
            </w:pPr>
            <w:r>
              <w:t xml:space="preserve">0.187</w:t>
            </w:r>
            <w:r>
              <w:t xml:space="preserve"> </w:t>
            </w:r>
            <w:r>
              <w:rPr>
                <w:i/>
                <w:iCs/>
              </w:rPr>
              <w:t xml:space="preserve">(−0.233)</w:t>
            </w:r>
          </w:p>
        </w:tc>
      </w:tr>
      <w:tr>
        <w:tc>
          <w:tcPr/>
          <w:p>
            <w:pPr>
              <w:pStyle w:val="Compact"/>
              <w:jc w:val="left"/>
            </w:pPr>
            <w:r>
              <w:t xml:space="preserve">Preferential learning + Emotion-dependent LPP</w:t>
            </w:r>
          </w:p>
        </w:tc>
        <w:tc>
          <w:tcPr/>
          <w:p>
            <w:pPr>
              <w:pStyle w:val="Compact"/>
              <w:jc w:val="right"/>
            </w:pPr>
            <w:r>
              <w:t xml:space="preserve">0.127</w:t>
            </w:r>
            <w:r>
              <w:t xml:space="preserve"> </w:t>
            </w:r>
            <w:r>
              <w:rPr>
                <w:i/>
                <w:iCs/>
              </w:rPr>
              <w:t xml:space="preserve">(+0.003)</w:t>
            </w:r>
          </w:p>
        </w:tc>
        <w:tc>
          <w:tcPr/>
          <w:p>
            <w:pPr>
              <w:pStyle w:val="Compact"/>
              <w:jc w:val="right"/>
            </w:pPr>
            <w:r>
              <w:t xml:space="preserve">0.356</w:t>
            </w:r>
            <w:r>
              <w:t xml:space="preserve"> </w:t>
            </w:r>
            <w:r>
              <w:rPr>
                <w:i/>
                <w:iCs/>
              </w:rPr>
              <w:t xml:space="preserve">(−0.099)</w:t>
            </w:r>
          </w:p>
        </w:tc>
        <w:tc>
          <w:tcPr/>
          <w:p>
            <w:pPr>
              <w:pStyle w:val="Compact"/>
              <w:jc w:val="right"/>
            </w:pPr>
            <w:r>
              <w:t xml:space="preserve">0.011</w:t>
            </w:r>
            <w:r>
              <w:t xml:space="preserve"> </w:t>
            </w:r>
            <w:r>
              <w:rPr>
                <w:i/>
                <w:iCs/>
              </w:rPr>
              <w:t xml:space="preserve">(−0.023)</w:t>
            </w:r>
          </w:p>
        </w:tc>
        <w:tc>
          <w:tcPr/>
          <w:p>
            <w:pPr>
              <w:pStyle w:val="Compact"/>
              <w:jc w:val="right"/>
            </w:pPr>
            <w:r>
              <w:t xml:space="preserve">0.344</w:t>
            </w:r>
            <w:r>
              <w:t xml:space="preserve"> </w:t>
            </w:r>
            <w:r>
              <w:rPr>
                <w:i/>
                <w:iCs/>
              </w:rPr>
              <w:t xml:space="preserve">(−0.076)</w:t>
            </w:r>
          </w:p>
        </w:tc>
      </w:tr>
      <w:tr>
        <w:tc>
          <w:tcPr/>
          <w:p>
            <w:pPr>
              <w:pStyle w:val="Compact"/>
              <w:jc w:val="left"/>
            </w:pPr>
            <w:r>
              <w:t xml:space="preserve">Preferential learning + Combined LPP</w:t>
            </w:r>
            <w:r>
              <w:rPr>
                <w:vertAlign w:val="superscript"/>
              </w:rPr>
              <w:t xml:space="preserve">a</w:t>
            </w:r>
          </w:p>
        </w:tc>
        <w:tc>
          <w:tcPr/>
          <w:p>
            <w:pPr>
              <w:pStyle w:val="Compact"/>
              <w:jc w:val="right"/>
            </w:pPr>
            <w:r>
              <w:t xml:space="preserve">0.127</w:t>
            </w:r>
            <w:r>
              <w:t xml:space="preserve"> </w:t>
            </w:r>
            <w:r>
              <w:rPr>
                <w:i/>
                <w:iCs/>
              </w:rPr>
              <w:t xml:space="preserve">(+0.003)</w:t>
            </w:r>
          </w:p>
        </w:tc>
        <w:tc>
          <w:tcPr/>
          <w:p>
            <w:pPr>
              <w:pStyle w:val="Compact"/>
              <w:jc w:val="right"/>
            </w:pPr>
            <w:r>
              <w:t xml:space="preserve">0.356</w:t>
            </w:r>
            <w:r>
              <w:t xml:space="preserve"> </w:t>
            </w:r>
            <w:r>
              <w:rPr>
                <w:i/>
                <w:iCs/>
              </w:rPr>
              <w:t xml:space="preserve">(−0.099)</w:t>
            </w:r>
          </w:p>
        </w:tc>
        <w:tc>
          <w:tcPr/>
          <w:p>
            <w:pPr>
              <w:pStyle w:val="Compact"/>
              <w:jc w:val="right"/>
            </w:pPr>
            <w:r>
              <w:t xml:space="preserve">0.011</w:t>
            </w:r>
            <w:r>
              <w:t xml:space="preserve"> </w:t>
            </w:r>
            <w:r>
              <w:rPr>
                <w:i/>
                <w:iCs/>
              </w:rPr>
              <w:t xml:space="preserve">(−0.023)</w:t>
            </w:r>
          </w:p>
        </w:tc>
        <w:tc>
          <w:tcPr/>
          <w:p>
            <w:pPr>
              <w:pStyle w:val="Compact"/>
              <w:jc w:val="right"/>
            </w:pPr>
            <w:r>
              <w:t xml:space="preserve">0.344</w:t>
            </w:r>
            <w:r>
              <w:t xml:space="preserve"> </w:t>
            </w:r>
            <w:r>
              <w:rPr>
                <w:i/>
                <w:iCs/>
              </w:rPr>
              <w:t xml:space="preserve">(−0.076)</w:t>
            </w:r>
          </w:p>
        </w:tc>
      </w:tr>
    </w:tbl>
    <w:bookmarkEnd w:id="174"/>
    <w:bookmarkEnd w:id="175"/>
    <w:p>
      <w:pPr>
        <w:pStyle w:val="FigureNote"/>
      </w:pPr>
      <w:r>
        <w:rPr>
          <w:i/>
          <w:iCs/>
        </w:rPr>
        <w:t xml:space="preserve">Note</w:t>
      </w:r>
      <w:r>
        <w:t xml:space="preserve">. Parentheses give prediction minus observed. Predictions are means across 200 simulated datasets conditioned on the observed recall counts. Early LPP contrasts use the standardized values and exclude events whose LPP was imputed; these contrasts were not separately fitted. ᵃ Both Combined LPP models retained the corresponding Emotion-dependent solution with the General coefficient fixed at zero; their simulated values are therefore identical.</w:t>
      </w:r>
    </w:p>
    <w:p>
      <w:r>
        <w:br w:type="page"/>
      </w:r>
    </w:p>
    <w:bookmarkStart w:id="176" w:name="tbl-model-parameters"/>
    <w:p>
      <w:pPr>
        <w:pStyle w:val="FigureTitle"/>
      </w:pPr>
      <w:r>
        <w:t xml:space="preserve">Table 3</w:t>
      </w:r>
    </w:p>
    <w:p>
      <w:pPr>
        <w:pStyle w:val="Caption"/>
      </w:pPr>
      <w:r>
        <w:t xml:space="preserve">Retained pooled parameter estimates for the eight source-context models.</w:t>
      </w:r>
    </w:p>
    <w:p>
      <w:pPr>
        <w:pStyle w:val="FigureWithNote"/>
      </w:pPr>
      <w:r>
        <w:rPr>
          <w:b/>
          <w:bCs/>
        </w:rPr>
        <w:t xml:space="preserve">Panel A. Models without preferential emotional learning</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Parameter</w:t>
            </w:r>
          </w:p>
        </w:tc>
        <w:tc>
          <w:tcPr/>
          <w:p>
            <w:pPr>
              <w:pStyle w:val="Compact"/>
              <w:jc w:val="right"/>
            </w:pPr>
            <w:r>
              <w:t xml:space="preserve">No LPP</w:t>
            </w:r>
          </w:p>
        </w:tc>
        <w:tc>
          <w:tcPr/>
          <w:p>
            <w:pPr>
              <w:pStyle w:val="Compact"/>
              <w:jc w:val="right"/>
            </w:pPr>
            <w:r>
              <w:t xml:space="preserve">General LPP</w:t>
            </w:r>
          </w:p>
        </w:tc>
        <w:tc>
          <w:tcPr/>
          <w:p>
            <w:pPr>
              <w:pStyle w:val="Compact"/>
              <w:jc w:val="right"/>
            </w:pPr>
            <w:r>
              <w:t xml:space="preserve">Emotion-dependent LPP</w:t>
            </w:r>
          </w:p>
        </w:tc>
        <w:tc>
          <w:tcPr/>
          <w:p>
            <w:pPr>
              <w:pStyle w:val="Compact"/>
              <w:jc w:val="right"/>
            </w:pPr>
            <w:r>
              <w:t xml:space="preserve">Combined LPP</w:t>
            </w:r>
            <w:r>
              <w:rPr>
                <w:vertAlign w:val="superscript"/>
              </w:rPr>
              <w:t xml:space="preserve">a</w:t>
            </w:r>
          </w:p>
        </w:tc>
      </w:tr>
      <w:tr>
        <w:tc>
          <w:tcPr/>
          <w:p>
            <w:pPr>
              <w:pStyle w:val="Compact"/>
              <w:jc w:val="left"/>
            </w:pPr>
            <m:oMath>
              <m:sSubSup>
                <m:e>
                  <m:r>
                    <m:t>β</m:t>
                  </m:r>
                </m:e>
                <m:sub>
                  <m:r>
                    <m:rPr>
                      <m:sty m:val="p"/>
                    </m:rPr>
                    <m:t>e</m:t>
                  </m:r>
                  <m:r>
                    <m:rPr>
                      <m:sty m:val="p"/>
                    </m:rPr>
                    <m:t>n</m:t>
                  </m:r>
                  <m:r>
                    <m:rPr>
                      <m:sty m:val="p"/>
                    </m:rPr>
                    <m:t>c</m:t>
                  </m:r>
                </m:sub>
                <m:sup>
                  <m:r>
                    <m:t>T</m:t>
                  </m:r>
                </m:sup>
              </m:sSubSup>
            </m:oMath>
          </w:p>
        </w:tc>
        <w:tc>
          <w:tcPr/>
          <w:p>
            <w:pPr>
              <w:pStyle w:val="Compact"/>
              <w:jc w:val="right"/>
            </w:pPr>
            <w:r>
              <w:t xml:space="preserve">0.71851</w:t>
            </w:r>
          </w:p>
        </w:tc>
        <w:tc>
          <w:tcPr/>
          <w:p>
            <w:pPr>
              <w:pStyle w:val="Compact"/>
              <w:jc w:val="right"/>
            </w:pPr>
            <w:r>
              <w:t xml:space="preserve">0.78142</w:t>
            </w:r>
          </w:p>
        </w:tc>
        <w:tc>
          <w:tcPr/>
          <w:p>
            <w:pPr>
              <w:pStyle w:val="Compact"/>
              <w:jc w:val="right"/>
            </w:pPr>
            <w:r>
              <w:t xml:space="preserve">0.80691</w:t>
            </w:r>
          </w:p>
        </w:tc>
        <w:tc>
          <w:tcPr/>
          <w:p>
            <w:pPr>
              <w:pStyle w:val="Compact"/>
              <w:jc w:val="right"/>
            </w:pPr>
            <w:r>
              <w:t xml:space="preserve">0.80691</w:t>
            </w:r>
          </w:p>
        </w:tc>
      </w:tr>
      <w:tr>
        <w:tc>
          <w:tcPr/>
          <w:p>
            <w:pPr>
              <w:pStyle w:val="Compact"/>
              <w:jc w:val="left"/>
            </w:pPr>
            <m:oMath>
              <m:sSubSup>
                <m:e>
                  <m:r>
                    <m:t>β</m:t>
                  </m:r>
                </m:e>
                <m:sub>
                  <m:r>
                    <m:rPr>
                      <m:sty m:val="p"/>
                    </m:rPr>
                    <m:t>e</m:t>
                  </m:r>
                  <m:r>
                    <m:rPr>
                      <m:sty m:val="p"/>
                    </m:rPr>
                    <m:t>n</m:t>
                  </m:r>
                  <m:r>
                    <m:rPr>
                      <m:sty m:val="p"/>
                    </m:rPr>
                    <m:t>c</m:t>
                  </m:r>
                </m:sub>
                <m:sup>
                  <m:r>
                    <m:t>S</m:t>
                  </m:r>
                </m:sup>
              </m:sSubSup>
            </m:oMath>
          </w:p>
        </w:tc>
        <w:tc>
          <w:tcPr/>
          <w:p>
            <w:pPr>
              <w:pStyle w:val="Compact"/>
              <w:jc w:val="right"/>
            </w:pPr>
            <w:r>
              <w:t xml:space="preserve">0.060535</w:t>
            </w:r>
          </w:p>
        </w:tc>
        <w:tc>
          <w:tcPr/>
          <w:p>
            <w:pPr>
              <w:pStyle w:val="Compact"/>
              <w:jc w:val="right"/>
            </w:pPr>
            <w:r>
              <w:t xml:space="preserve">0.024017</w:t>
            </w:r>
          </w:p>
        </w:tc>
        <w:tc>
          <w:tcPr/>
          <w:p>
            <w:pPr>
              <w:pStyle w:val="Compact"/>
              <w:jc w:val="right"/>
            </w:pPr>
            <w:r>
              <w:t xml:space="preserve">0.036409</w:t>
            </w:r>
          </w:p>
        </w:tc>
        <w:tc>
          <w:tcPr/>
          <w:p>
            <w:pPr>
              <w:pStyle w:val="Compact"/>
              <w:jc w:val="right"/>
            </w:pPr>
            <w:r>
              <w:t xml:space="preserve">0.036409</w:t>
            </w:r>
          </w:p>
        </w:tc>
      </w:tr>
      <w:tr>
        <w:tc>
          <w:tcPr/>
          <w:p>
            <w:pPr>
              <w:pStyle w:val="Compact"/>
              <w:jc w:val="left"/>
            </w:pPr>
            <m:oMath>
              <m:sSub>
                <m:e>
                  <m:r>
                    <m:t>β</m:t>
                  </m:r>
                </m:e>
                <m:sub>
                  <m:r>
                    <m:rPr>
                      <m:sty m:val="p"/>
                    </m:rPr>
                    <m:t>s</m:t>
                  </m:r>
                  <m:r>
                    <m:rPr>
                      <m:sty m:val="p"/>
                    </m:rPr>
                    <m:t>t</m:t>
                  </m:r>
                  <m:r>
                    <m:rPr>
                      <m:sty m:val="p"/>
                    </m:rPr>
                    <m:t>a</m:t>
                  </m:r>
                  <m:r>
                    <m:rPr>
                      <m:sty m:val="p"/>
                    </m:rPr>
                    <m:t>r</m:t>
                  </m:r>
                  <m:r>
                    <m:rPr>
                      <m:sty m:val="p"/>
                    </m:rPr>
                    <m:t>t</m:t>
                  </m:r>
                </m:sub>
              </m:sSub>
            </m:oMath>
          </w:p>
        </w:tc>
        <w:tc>
          <w:tcPr/>
          <w:p>
            <w:pPr>
              <w:pStyle w:val="Compact"/>
              <w:jc w:val="right"/>
            </w:pPr>
            <w:r>
              <w:t xml:space="preserve">0.99726</w:t>
            </w:r>
          </w:p>
        </w:tc>
        <w:tc>
          <w:tcPr/>
          <w:p>
            <w:pPr>
              <w:pStyle w:val="Compact"/>
              <w:jc w:val="right"/>
            </w:pPr>
            <w:r>
              <w:t xml:space="preserve">0.99975</w:t>
            </w:r>
          </w:p>
        </w:tc>
        <w:tc>
          <w:tcPr/>
          <w:p>
            <w:pPr>
              <w:pStyle w:val="Compact"/>
              <w:jc w:val="right"/>
            </w:pPr>
            <w:r>
              <w:t xml:space="preserve">0.99975</w:t>
            </w:r>
          </w:p>
        </w:tc>
        <w:tc>
          <w:tcPr/>
          <w:p>
            <w:pPr>
              <w:pStyle w:val="Compact"/>
              <w:jc w:val="right"/>
            </w:pPr>
            <w:r>
              <w:t xml:space="preserve">0.99975</w:t>
            </w:r>
          </w:p>
        </w:tc>
      </w:tr>
      <w:tr>
        <w:tc>
          <w:tcPr/>
          <w:p>
            <w:pPr>
              <w:pStyle w:val="Compact"/>
              <w:jc w:val="left"/>
            </w:pPr>
            <m:oMath>
              <m:sSubSup>
                <m:e>
                  <m:r>
                    <m:t>β</m:t>
                  </m:r>
                </m:e>
                <m:sub>
                  <m:r>
                    <m:rPr>
                      <m:sty m:val="p"/>
                    </m:rPr>
                    <m:t>r</m:t>
                  </m:r>
                  <m:r>
                    <m:rPr>
                      <m:sty m:val="p"/>
                    </m:rPr>
                    <m:t>e</m:t>
                  </m:r>
                  <m:r>
                    <m:rPr>
                      <m:sty m:val="p"/>
                    </m:rPr>
                    <m:t>c</m:t>
                  </m:r>
                </m:sub>
                <m:sup>
                  <m:r>
                    <m:t>T</m:t>
                  </m:r>
                </m:sup>
              </m:sSubSup>
            </m:oMath>
          </w:p>
        </w:tc>
        <w:tc>
          <w:tcPr/>
          <w:p>
            <w:pPr>
              <w:pStyle w:val="Compact"/>
              <w:jc w:val="right"/>
            </w:pPr>
            <w:r>
              <w:t xml:space="preserve">0.42503</w:t>
            </w:r>
          </w:p>
        </w:tc>
        <w:tc>
          <w:tcPr/>
          <w:p>
            <w:pPr>
              <w:pStyle w:val="Compact"/>
              <w:jc w:val="right"/>
            </w:pPr>
            <w:r>
              <w:t xml:space="preserve">0.49575</w:t>
            </w:r>
          </w:p>
        </w:tc>
        <w:tc>
          <w:tcPr/>
          <w:p>
            <w:pPr>
              <w:pStyle w:val="Compact"/>
              <w:jc w:val="right"/>
            </w:pPr>
            <w:r>
              <w:t xml:space="preserve">0.33069</w:t>
            </w:r>
          </w:p>
        </w:tc>
        <w:tc>
          <w:tcPr/>
          <w:p>
            <w:pPr>
              <w:pStyle w:val="Compact"/>
              <w:jc w:val="right"/>
            </w:pPr>
            <w:r>
              <w:t xml:space="preserve">0.33069</w:t>
            </w:r>
          </w:p>
        </w:tc>
      </w:tr>
      <w:tr>
        <w:tc>
          <w:tcPr/>
          <w:p>
            <w:pPr>
              <w:pStyle w:val="Compact"/>
              <w:jc w:val="left"/>
            </w:pPr>
            <m:oMath>
              <m:sSubSup>
                <m:e>
                  <m:r>
                    <m:t>β</m:t>
                  </m:r>
                </m:e>
                <m:sub>
                  <m:r>
                    <m:rPr>
                      <m:sty m:val="p"/>
                    </m:rPr>
                    <m:t>r</m:t>
                  </m:r>
                  <m:r>
                    <m:rPr>
                      <m:sty m:val="p"/>
                    </m:rPr>
                    <m:t>e</m:t>
                  </m:r>
                  <m:r>
                    <m:rPr>
                      <m:sty m:val="p"/>
                    </m:rPr>
                    <m:t>c</m:t>
                  </m:r>
                </m:sub>
                <m:sup>
                  <m:r>
                    <m:t>S</m:t>
                  </m:r>
                </m:sup>
              </m:sSubSup>
            </m:oMath>
          </w:p>
        </w:tc>
        <w:tc>
          <w:tcPr/>
          <w:p>
            <w:pPr>
              <w:pStyle w:val="Compact"/>
              <w:jc w:val="right"/>
            </w:pPr>
            <w:r>
              <w:t xml:space="preserve">[1]</w:t>
            </w:r>
          </w:p>
        </w:tc>
        <w:tc>
          <w:tcPr/>
          <w:p>
            <w:pPr>
              <w:pStyle w:val="Compact"/>
              <w:jc w:val="right"/>
            </w:pPr>
            <w:r>
              <w:t xml:space="preserve">[1]</w:t>
            </w:r>
          </w:p>
        </w:tc>
        <w:tc>
          <w:tcPr/>
          <w:p>
            <w:pPr>
              <w:pStyle w:val="Compact"/>
              <w:jc w:val="right"/>
            </w:pPr>
            <w:r>
              <w:t xml:space="preserve">[1]</w:t>
            </w:r>
          </w:p>
        </w:tc>
        <w:tc>
          <w:tcPr/>
          <w:p>
            <w:pPr>
              <w:pStyle w:val="Compact"/>
              <w:jc w:val="right"/>
            </w:pPr>
            <w:r>
              <w:t xml:space="preserve">[1]</w:t>
            </w:r>
          </w:p>
        </w:tc>
      </w:tr>
      <w:tr>
        <w:tc>
          <w:tcPr/>
          <w:p>
            <w:pPr>
              <w:pStyle w:val="Compact"/>
              <w:jc w:val="left"/>
            </w:pPr>
            <m:oMath>
              <m:r>
                <m:t>α</m:t>
              </m:r>
            </m:oMath>
          </w:p>
        </w:tc>
        <w:tc>
          <w:tcPr/>
          <w:p>
            <w:pPr>
              <w:pStyle w:val="Compact"/>
              <w:jc w:val="right"/>
            </w:pPr>
            <w:r>
              <w:t xml:space="preserve">0.30498</w:t>
            </w:r>
          </w:p>
        </w:tc>
        <w:tc>
          <w:tcPr/>
          <w:p>
            <w:pPr>
              <w:pStyle w:val="Compact"/>
              <w:jc w:val="right"/>
            </w:pPr>
            <w:r>
              <w:t xml:space="preserve">1.5303</w:t>
            </w:r>
          </w:p>
        </w:tc>
        <w:tc>
          <w:tcPr/>
          <w:p>
            <w:pPr>
              <w:pStyle w:val="Compact"/>
              <w:jc w:val="right"/>
            </w:pPr>
            <w:r>
              <w:t xml:space="preserve">0.72775</w:t>
            </w:r>
          </w:p>
        </w:tc>
        <w:tc>
          <w:tcPr/>
          <w:p>
            <w:pPr>
              <w:pStyle w:val="Compact"/>
              <w:jc w:val="right"/>
            </w:pPr>
            <w:r>
              <w:t xml:space="preserve">0.72775</w:t>
            </w:r>
          </w:p>
        </w:tc>
      </w:tr>
      <w:tr>
        <w:tc>
          <w:tcPr/>
          <w:p>
            <w:pPr>
              <w:pStyle w:val="Compact"/>
              <w:jc w:val="left"/>
            </w:pPr>
            <m:oMath>
              <m:r>
                <m:t>δ</m:t>
              </m:r>
            </m:oMath>
          </w:p>
        </w:tc>
        <w:tc>
          <w:tcPr/>
          <w:p>
            <w:pPr>
              <w:pStyle w:val="Compact"/>
              <w:jc w:val="right"/>
            </w:pPr>
            <w:r>
              <w:t xml:space="preserve">23.840</w:t>
            </w:r>
          </w:p>
        </w:tc>
        <w:tc>
          <w:tcPr/>
          <w:p>
            <w:pPr>
              <w:pStyle w:val="Compact"/>
              <w:jc w:val="right"/>
            </w:pPr>
            <w:r>
              <w:t xml:space="preserve">53.847</w:t>
            </w:r>
          </w:p>
        </w:tc>
        <w:tc>
          <w:tcPr/>
          <w:p>
            <w:pPr>
              <w:pStyle w:val="Compact"/>
              <w:jc w:val="right"/>
            </w:pPr>
            <w:r>
              <w:t xml:space="preserve">7.4796</w:t>
            </w:r>
          </w:p>
        </w:tc>
        <w:tc>
          <w:tcPr/>
          <w:p>
            <w:pPr>
              <w:pStyle w:val="Compact"/>
              <w:jc w:val="right"/>
            </w:pPr>
            <w:r>
              <w:t xml:space="preserve">7.4796</w:t>
            </w:r>
          </w:p>
        </w:tc>
      </w:tr>
      <w:tr>
        <w:tc>
          <w:tcPr/>
          <w:p>
            <w:pPr>
              <w:pStyle w:val="Compact"/>
              <w:jc w:val="left"/>
            </w:pPr>
            <m:oMath>
              <m:r>
                <m:t>γ</m:t>
              </m:r>
            </m:oMath>
          </w:p>
        </w:tc>
        <w:tc>
          <w:tcPr/>
          <w:p>
            <w:pPr>
              <w:pStyle w:val="Compact"/>
              <w:jc w:val="right"/>
            </w:pPr>
            <w:r>
              <w:t xml:space="preserve">0.28870</w:t>
            </w:r>
          </w:p>
        </w:tc>
        <w:tc>
          <w:tcPr/>
          <w:p>
            <w:pPr>
              <w:pStyle w:val="Compact"/>
              <w:jc w:val="right"/>
            </w:pPr>
            <w:r>
              <w:t xml:space="preserve">0.24546</w:t>
            </w:r>
          </w:p>
        </w:tc>
        <w:tc>
          <w:tcPr/>
          <w:p>
            <w:pPr>
              <w:pStyle w:val="Compact"/>
              <w:jc w:val="right"/>
            </w:pPr>
            <w:r>
              <w:t xml:space="preserve">0.34176</w:t>
            </w:r>
          </w:p>
        </w:tc>
        <w:tc>
          <w:tcPr/>
          <w:p>
            <w:pPr>
              <w:pStyle w:val="Compact"/>
              <w:jc w:val="right"/>
            </w:pPr>
            <w:r>
              <w:t xml:space="preserve">0.34176</w:t>
            </w:r>
          </w:p>
        </w:tc>
      </w:tr>
      <w:tr>
        <w:tc>
          <w:tcPr/>
          <w:p>
            <w:pPr>
              <w:pStyle w:val="Compact"/>
              <w:jc w:val="left"/>
            </w:pPr>
            <m:oMath>
              <m:sSub>
                <m:e>
                  <m:r>
                    <m:t>ϕ</m:t>
                  </m:r>
                </m:e>
                <m:sub>
                  <m:r>
                    <m:t>s</m:t>
                  </m:r>
                </m:sub>
              </m:sSub>
            </m:oMath>
          </w:p>
        </w:tc>
        <w:tc>
          <w:tcPr/>
          <w:p>
            <w:pPr>
              <w:pStyle w:val="Compact"/>
              <w:jc w:val="right"/>
            </w:pPr>
            <w:r>
              <w:t xml:space="preserve">1.3389</w:t>
            </w:r>
          </w:p>
        </w:tc>
        <w:tc>
          <w:tcPr/>
          <w:p>
            <w:pPr>
              <w:pStyle w:val="Compact"/>
              <w:jc w:val="right"/>
            </w:pPr>
            <w:r>
              <w:t xml:space="preserve">0.67787</w:t>
            </w:r>
          </w:p>
        </w:tc>
        <w:tc>
          <w:tcPr/>
          <w:p>
            <w:pPr>
              <w:pStyle w:val="Compact"/>
              <w:jc w:val="right"/>
            </w:pPr>
            <w:r>
              <w:t xml:space="preserve">0.28273</w:t>
            </w:r>
          </w:p>
        </w:tc>
        <w:tc>
          <w:tcPr/>
          <w:p>
            <w:pPr>
              <w:pStyle w:val="Compact"/>
              <w:jc w:val="right"/>
            </w:pPr>
            <w:r>
              <w:t xml:space="preserve">0.28273</w:t>
            </w:r>
          </w:p>
        </w:tc>
      </w:tr>
      <w:tr>
        <w:tc>
          <w:tcPr/>
          <w:p>
            <w:pPr>
              <w:pStyle w:val="Compact"/>
              <w:jc w:val="left"/>
            </w:pPr>
            <m:oMath>
              <m:sSub>
                <m:e>
                  <m:r>
                    <m:t>ϕ</m:t>
                  </m:r>
                </m:e>
                <m:sub>
                  <m:r>
                    <m:t>d</m:t>
                  </m:r>
                </m:sub>
              </m:sSub>
            </m:oMath>
          </w:p>
        </w:tc>
        <w:tc>
          <w:tcPr/>
          <w:p>
            <w:pPr>
              <w:pStyle w:val="Compact"/>
              <w:jc w:val="right"/>
            </w:pPr>
            <w:r>
              <w:t xml:space="preserve">82.540</w:t>
            </w:r>
          </w:p>
        </w:tc>
        <w:tc>
          <w:tcPr/>
          <w:p>
            <w:pPr>
              <w:pStyle w:val="Compact"/>
              <w:jc w:val="right"/>
            </w:pPr>
            <w:r>
              <w:t xml:space="preserve">1.0314</w:t>
            </w:r>
          </w:p>
        </w:tc>
        <w:tc>
          <w:tcPr/>
          <w:p>
            <w:pPr>
              <w:pStyle w:val="Compact"/>
              <w:jc w:val="right"/>
            </w:pPr>
            <w:r>
              <w:t xml:space="preserve">1.4471</w:t>
            </w:r>
          </w:p>
        </w:tc>
        <w:tc>
          <w:tcPr/>
          <w:p>
            <w:pPr>
              <w:pStyle w:val="Compact"/>
              <w:jc w:val="right"/>
            </w:pPr>
            <w:r>
              <w:t xml:space="preserve">1.4471</w:t>
            </w:r>
          </w:p>
        </w:tc>
      </w:tr>
      <w:tr>
        <w:tc>
          <w:tcPr/>
          <w:p>
            <w:pPr>
              <w:pStyle w:val="Compact"/>
              <w:jc w:val="left"/>
            </w:pPr>
            <m:oMath>
              <m:sSub>
                <m:e>
                  <m:r>
                    <m:t>τ</m:t>
                  </m:r>
                </m:e>
                <m:sub>
                  <m:r>
                    <m:t>c</m:t>
                  </m:r>
                </m:sub>
              </m:sSub>
            </m:oMath>
          </w:p>
        </w:tc>
        <w:tc>
          <w:tcPr/>
          <w:p>
            <w:pPr>
              <w:pStyle w:val="Compact"/>
              <w:jc w:val="right"/>
            </w:pPr>
            <w:r>
              <w:t xml:space="preserve">0.64638</w:t>
            </w:r>
          </w:p>
        </w:tc>
        <w:tc>
          <w:tcPr/>
          <w:p>
            <w:pPr>
              <w:pStyle w:val="Compact"/>
              <w:jc w:val="right"/>
            </w:pPr>
            <w:r>
              <w:t xml:space="preserve">1.0003</w:t>
            </w:r>
          </w:p>
        </w:tc>
        <w:tc>
          <w:tcPr/>
          <w:p>
            <w:pPr>
              <w:pStyle w:val="Compact"/>
              <w:jc w:val="right"/>
            </w:pPr>
            <w:r>
              <w:t xml:space="preserve">1.5895</w:t>
            </w:r>
          </w:p>
        </w:tc>
        <w:tc>
          <w:tcPr/>
          <w:p>
            <w:pPr>
              <w:pStyle w:val="Compact"/>
              <w:jc w:val="right"/>
            </w:pPr>
            <w:r>
              <w:t xml:space="preserve">1.5895</w:t>
            </w:r>
          </w:p>
        </w:tc>
      </w:tr>
      <w:tr>
        <w:tc>
          <w:tcPr/>
          <w:p>
            <w:pPr>
              <w:pStyle w:val="Compact"/>
              <w:jc w:val="left"/>
            </w:pPr>
            <m:oMath>
              <m:r>
                <m:t>ω</m:t>
              </m:r>
            </m:oMath>
          </w:p>
        </w:tc>
        <w:tc>
          <w:tcPr/>
          <w:p>
            <w:pPr>
              <w:pStyle w:val="Compact"/>
              <w:jc w:val="right"/>
            </w:pPr>
            <w:r>
              <w:t xml:space="preserve">1.8797</w:t>
            </w:r>
          </w:p>
        </w:tc>
        <w:tc>
          <w:tcPr/>
          <w:p>
            <w:pPr>
              <w:pStyle w:val="Compact"/>
              <w:jc w:val="right"/>
            </w:pPr>
            <w:r>
              <w:t xml:space="preserve">7.2810</w:t>
            </w:r>
          </w:p>
        </w:tc>
        <w:tc>
          <w:tcPr/>
          <w:p>
            <w:pPr>
              <w:pStyle w:val="Compact"/>
              <w:jc w:val="right"/>
            </w:pPr>
            <w:r>
              <w:t xml:space="preserve">1.5667</w:t>
            </w:r>
          </w:p>
        </w:tc>
        <w:tc>
          <w:tcPr/>
          <w:p>
            <w:pPr>
              <w:pStyle w:val="Compact"/>
              <w:jc w:val="right"/>
            </w:pPr>
            <w:r>
              <w:t xml:space="preserve">1.5667</w:t>
            </w:r>
          </w:p>
        </w:tc>
      </w:tr>
      <w:tr>
        <w:tc>
          <w:tcPr/>
          <w:p>
            <w:pPr>
              <w:pStyle w:val="Compact"/>
              <w:jc w:val="left"/>
            </w:pPr>
            <m:oMath>
              <m:sSub>
                <m:e>
                  <m:r>
                    <m:t>ϕ</m:t>
                  </m:r>
                </m:e>
                <m:sub>
                  <m:r>
                    <m:rPr>
                      <m:sty m:val="p"/>
                    </m:rPr>
                    <m:t>e</m:t>
                  </m:r>
                  <m:r>
                    <m:rPr>
                      <m:sty m:val="p"/>
                    </m:rPr>
                    <m:t>m</m:t>
                  </m:r>
                  <m:r>
                    <m:rPr>
                      <m:sty m:val="p"/>
                    </m:rPr>
                    <m:t>o</m:t>
                  </m:r>
                  <m:r>
                    <m:rPr>
                      <m:sty m:val="p"/>
                    </m:rPr>
                    <m:t>t</m:t>
                  </m:r>
                </m:sub>
              </m:sSub>
            </m:oMath>
          </w:p>
        </w:tc>
        <w:tc>
          <w:tcPr/>
          <w:p>
            <w:pPr>
              <w:pStyle w:val="Compact"/>
              <w:jc w:val="right"/>
            </w:pPr>
            <w:r>
              <w:t xml:space="preserve">[1]</w:t>
            </w:r>
          </w:p>
        </w:tc>
        <w:tc>
          <w:tcPr/>
          <w:p>
            <w:pPr>
              <w:pStyle w:val="Compact"/>
              <w:jc w:val="right"/>
            </w:pPr>
            <w:r>
              <w:t xml:space="preserve">[1]</w:t>
            </w:r>
          </w:p>
        </w:tc>
        <w:tc>
          <w:tcPr/>
          <w:p>
            <w:pPr>
              <w:pStyle w:val="Compact"/>
              <w:jc w:val="right"/>
            </w:pPr>
            <w:r>
              <w:t xml:space="preserve">[1]</w:t>
            </w:r>
          </w:p>
        </w:tc>
        <w:tc>
          <w:tcPr/>
          <w:p>
            <w:pPr>
              <w:pStyle w:val="Compact"/>
              <w:jc w:val="right"/>
            </w:pPr>
            <w:r>
              <w:t xml:space="preserve">[1]</w:t>
            </w:r>
          </w:p>
        </w:tc>
      </w:tr>
      <w:tr>
        <w:tc>
          <w:tcPr/>
          <w:p>
            <w:pPr>
              <w:pStyle w:val="Compact"/>
              <w:jc w:val="left"/>
            </w:pPr>
            <m:oMath>
              <m:r>
                <m:t>κ</m:t>
              </m:r>
            </m:oMath>
          </w:p>
        </w:tc>
        <w:tc>
          <w:tcPr/>
          <w:p>
            <w:pPr>
              <w:pStyle w:val="Compact"/>
              <w:jc w:val="right"/>
            </w:pPr>
            <w:r>
              <w:t xml:space="preserve">[0]</w:t>
            </w:r>
          </w:p>
        </w:tc>
        <w:tc>
          <w:tcPr/>
          <w:p>
            <w:pPr>
              <w:pStyle w:val="Compact"/>
              <w:jc w:val="right"/>
            </w:pPr>
            <w:r>
              <w:t xml:space="preserve">0.10149</w:t>
            </w:r>
          </w:p>
        </w:tc>
        <w:tc>
          <w:tcPr/>
          <w:p>
            <w:pPr>
              <w:pStyle w:val="Compact"/>
              <w:jc w:val="right"/>
            </w:pPr>
            <w:r>
              <w:t xml:space="preserve">[0]</w:t>
            </w:r>
          </w:p>
        </w:tc>
        <w:tc>
          <w:tcPr/>
          <w:p>
            <w:pPr>
              <w:pStyle w:val="Compact"/>
              <w:jc w:val="right"/>
            </w:pPr>
            <w:r>
              <w:t xml:space="preserve">0</w:t>
            </w:r>
          </w:p>
        </w:tc>
      </w:tr>
      <w:tr>
        <w:tc>
          <w:tcPr/>
          <w:p>
            <w:pPr>
              <w:pStyle w:val="Compact"/>
              <w:jc w:val="left"/>
            </w:pPr>
            <m:oMath>
              <m:sSub>
                <m:e>
                  <m:r>
                    <m:t>κ</m:t>
                  </m:r>
                </m:e>
                <m:sub>
                  <m:r>
                    <m:rPr>
                      <m:sty m:val="p"/>
                    </m:rPr>
                    <m:t>e</m:t>
                  </m:r>
                  <m:r>
                    <m:rPr>
                      <m:sty m:val="p"/>
                    </m:rPr>
                    <m:t>m</m:t>
                  </m:r>
                  <m:r>
                    <m:rPr>
                      <m:sty m:val="p"/>
                    </m:rPr>
                    <m:t>o</m:t>
                  </m:r>
                  <m:r>
                    <m:rPr>
                      <m:sty m:val="p"/>
                    </m:rPr>
                    <m:t>t</m:t>
                  </m:r>
                </m:sub>
              </m:sSub>
            </m:oMath>
          </w:p>
        </w:tc>
        <w:tc>
          <w:tcPr/>
          <w:p>
            <w:pPr>
              <w:pStyle w:val="Compact"/>
              <w:jc w:val="right"/>
            </w:pPr>
            <w:r>
              <w:t xml:space="preserve">[0]</w:t>
            </w:r>
          </w:p>
        </w:tc>
        <w:tc>
          <w:tcPr/>
          <w:p>
            <w:pPr>
              <w:pStyle w:val="Compact"/>
              <w:jc w:val="right"/>
            </w:pPr>
            <w:r>
              <w:t xml:space="preserve">[0]</w:t>
            </w:r>
          </w:p>
        </w:tc>
        <w:tc>
          <w:tcPr/>
          <w:p>
            <w:pPr>
              <w:pStyle w:val="Compact"/>
              <w:jc w:val="right"/>
            </w:pPr>
            <w:r>
              <w:t xml:space="preserve">0.16688</w:t>
            </w:r>
          </w:p>
        </w:tc>
        <w:tc>
          <w:tcPr/>
          <w:p>
            <w:pPr>
              <w:pStyle w:val="Compact"/>
              <w:jc w:val="right"/>
            </w:pPr>
            <w:r>
              <w:t xml:space="preserve">0.16688</w:t>
            </w:r>
          </w:p>
        </w:tc>
      </w:tr>
    </w:tbl>
    <w:p>
      <w:pPr>
        <w:pStyle w:val="FigureWithNote"/>
      </w:pPr>
      <w:r>
        <w:rPr>
          <w:b/>
          <w:bCs/>
        </w:rPr>
        <w:t xml:space="preserve">Panel B. Models with preferential emotional learning</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Parameter</w:t>
            </w:r>
          </w:p>
        </w:tc>
        <w:tc>
          <w:tcPr/>
          <w:p>
            <w:pPr>
              <w:pStyle w:val="Compact"/>
              <w:jc w:val="right"/>
            </w:pPr>
            <w:r>
              <w:t xml:space="preserve">No LPP</w:t>
            </w:r>
          </w:p>
        </w:tc>
        <w:tc>
          <w:tcPr/>
          <w:p>
            <w:pPr>
              <w:pStyle w:val="Compact"/>
              <w:jc w:val="right"/>
            </w:pPr>
            <w:r>
              <w:t xml:space="preserve">General LPP</w:t>
            </w:r>
          </w:p>
        </w:tc>
        <w:tc>
          <w:tcPr/>
          <w:p>
            <w:pPr>
              <w:pStyle w:val="Compact"/>
              <w:jc w:val="right"/>
            </w:pPr>
            <w:r>
              <w:t xml:space="preserve">Emotion-dependent LPP</w:t>
            </w:r>
          </w:p>
        </w:tc>
        <w:tc>
          <w:tcPr/>
          <w:p>
            <w:pPr>
              <w:pStyle w:val="Compact"/>
              <w:jc w:val="right"/>
            </w:pPr>
            <w:r>
              <w:t xml:space="preserve">Combined LPP</w:t>
            </w:r>
            <w:r>
              <w:rPr>
                <w:vertAlign w:val="superscript"/>
              </w:rPr>
              <w:t xml:space="preserve">a</w:t>
            </w:r>
          </w:p>
        </w:tc>
      </w:tr>
      <w:tr>
        <w:tc>
          <w:tcPr/>
          <w:p>
            <w:pPr>
              <w:pStyle w:val="Compact"/>
              <w:jc w:val="left"/>
            </w:pPr>
            <m:oMath>
              <m:sSubSup>
                <m:e>
                  <m:r>
                    <m:t>β</m:t>
                  </m:r>
                </m:e>
                <m:sub>
                  <m:r>
                    <m:rPr>
                      <m:sty m:val="p"/>
                    </m:rPr>
                    <m:t>e</m:t>
                  </m:r>
                  <m:r>
                    <m:rPr>
                      <m:sty m:val="p"/>
                    </m:rPr>
                    <m:t>n</m:t>
                  </m:r>
                  <m:r>
                    <m:rPr>
                      <m:sty m:val="p"/>
                    </m:rPr>
                    <m:t>c</m:t>
                  </m:r>
                </m:sub>
                <m:sup>
                  <m:r>
                    <m:t>T</m:t>
                  </m:r>
                </m:sup>
              </m:sSubSup>
            </m:oMath>
          </w:p>
        </w:tc>
        <w:tc>
          <w:tcPr/>
          <w:p>
            <w:pPr>
              <w:pStyle w:val="Compact"/>
              <w:jc w:val="right"/>
            </w:pPr>
            <w:r>
              <w:t xml:space="preserve">0.78546</w:t>
            </w:r>
          </w:p>
        </w:tc>
        <w:tc>
          <w:tcPr/>
          <w:p>
            <w:pPr>
              <w:pStyle w:val="Compact"/>
              <w:jc w:val="right"/>
            </w:pPr>
            <w:r>
              <w:t xml:space="preserve">0.86821</w:t>
            </w:r>
          </w:p>
        </w:tc>
        <w:tc>
          <w:tcPr/>
          <w:p>
            <w:pPr>
              <w:pStyle w:val="Compact"/>
              <w:jc w:val="right"/>
            </w:pPr>
            <w:r>
              <w:t xml:space="preserve">0.84297</w:t>
            </w:r>
          </w:p>
        </w:tc>
        <w:tc>
          <w:tcPr/>
          <w:p>
            <w:pPr>
              <w:pStyle w:val="Compact"/>
              <w:jc w:val="right"/>
            </w:pPr>
            <w:r>
              <w:t xml:space="preserve">0.84297</w:t>
            </w:r>
          </w:p>
        </w:tc>
      </w:tr>
      <w:tr>
        <w:tc>
          <w:tcPr/>
          <w:p>
            <w:pPr>
              <w:pStyle w:val="Compact"/>
              <w:jc w:val="left"/>
            </w:pPr>
            <m:oMath>
              <m:sSubSup>
                <m:e>
                  <m:r>
                    <m:t>β</m:t>
                  </m:r>
                </m:e>
                <m:sub>
                  <m:r>
                    <m:rPr>
                      <m:sty m:val="p"/>
                    </m:rPr>
                    <m:t>e</m:t>
                  </m:r>
                  <m:r>
                    <m:rPr>
                      <m:sty m:val="p"/>
                    </m:rPr>
                    <m:t>n</m:t>
                  </m:r>
                  <m:r>
                    <m:rPr>
                      <m:sty m:val="p"/>
                    </m:rPr>
                    <m:t>c</m:t>
                  </m:r>
                </m:sub>
                <m:sup>
                  <m:r>
                    <m:t>S</m:t>
                  </m:r>
                </m:sup>
              </m:sSubSup>
            </m:oMath>
          </w:p>
        </w:tc>
        <w:tc>
          <w:tcPr/>
          <w:p>
            <w:pPr>
              <w:pStyle w:val="Compact"/>
              <w:jc w:val="right"/>
            </w:pPr>
            <w:r>
              <w:t xml:space="preserve">0.037635</w:t>
            </w:r>
          </w:p>
        </w:tc>
        <w:tc>
          <w:tcPr/>
          <w:p>
            <w:pPr>
              <w:pStyle w:val="Compact"/>
              <w:jc w:val="right"/>
            </w:pPr>
            <w:r>
              <w:t xml:space="preserve">0.058007</w:t>
            </w:r>
          </w:p>
        </w:tc>
        <w:tc>
          <w:tcPr/>
          <w:p>
            <w:pPr>
              <w:pStyle w:val="Compact"/>
              <w:jc w:val="right"/>
            </w:pPr>
            <w:r>
              <w:t xml:space="preserve">0.076622</w:t>
            </w:r>
          </w:p>
        </w:tc>
        <w:tc>
          <w:tcPr/>
          <w:p>
            <w:pPr>
              <w:pStyle w:val="Compact"/>
              <w:jc w:val="right"/>
            </w:pPr>
            <w:r>
              <w:t xml:space="preserve">0.076622</w:t>
            </w:r>
          </w:p>
        </w:tc>
      </w:tr>
      <w:tr>
        <w:tc>
          <w:tcPr/>
          <w:p>
            <w:pPr>
              <w:pStyle w:val="Compact"/>
              <w:jc w:val="left"/>
            </w:pPr>
            <m:oMath>
              <m:sSub>
                <m:e>
                  <m:r>
                    <m:t>β</m:t>
                  </m:r>
                </m:e>
                <m:sub>
                  <m:r>
                    <m:rPr>
                      <m:sty m:val="p"/>
                    </m:rPr>
                    <m:t>s</m:t>
                  </m:r>
                  <m:r>
                    <m:rPr>
                      <m:sty m:val="p"/>
                    </m:rPr>
                    <m:t>t</m:t>
                  </m:r>
                  <m:r>
                    <m:rPr>
                      <m:sty m:val="p"/>
                    </m:rPr>
                    <m:t>a</m:t>
                  </m:r>
                  <m:r>
                    <m:rPr>
                      <m:sty m:val="p"/>
                    </m:rPr>
                    <m:t>r</m:t>
                  </m:r>
                  <m:r>
                    <m:rPr>
                      <m:sty m:val="p"/>
                    </m:rPr>
                    <m:t>t</m:t>
                  </m:r>
                </m:sub>
              </m:sSub>
            </m:oMath>
          </w:p>
        </w:tc>
        <w:tc>
          <w:tcPr/>
          <w:p>
            <w:pPr>
              <w:pStyle w:val="Compact"/>
              <w:jc w:val="right"/>
            </w:pPr>
            <w:r>
              <w:t xml:space="preserve">0.99997</w:t>
            </w:r>
          </w:p>
        </w:tc>
        <w:tc>
          <w:tcPr/>
          <w:p>
            <w:pPr>
              <w:pStyle w:val="Compact"/>
              <w:jc w:val="right"/>
            </w:pPr>
            <w:r>
              <w:t xml:space="preserve">0.99993</w:t>
            </w:r>
          </w:p>
        </w:tc>
        <w:tc>
          <w:tcPr/>
          <w:p>
            <w:pPr>
              <w:pStyle w:val="Compact"/>
              <w:jc w:val="right"/>
            </w:pPr>
            <w:r>
              <w:t xml:space="preserve">0.99997</w:t>
            </w:r>
          </w:p>
        </w:tc>
        <w:tc>
          <w:tcPr/>
          <w:p>
            <w:pPr>
              <w:pStyle w:val="Compact"/>
              <w:jc w:val="right"/>
            </w:pPr>
            <w:r>
              <w:t xml:space="preserve">0.99997</w:t>
            </w:r>
          </w:p>
        </w:tc>
      </w:tr>
      <w:tr>
        <w:tc>
          <w:tcPr/>
          <w:p>
            <w:pPr>
              <w:pStyle w:val="Compact"/>
              <w:jc w:val="left"/>
            </w:pPr>
            <m:oMath>
              <m:sSubSup>
                <m:e>
                  <m:r>
                    <m:t>β</m:t>
                  </m:r>
                </m:e>
                <m:sub>
                  <m:r>
                    <m:rPr>
                      <m:sty m:val="p"/>
                    </m:rPr>
                    <m:t>r</m:t>
                  </m:r>
                  <m:r>
                    <m:rPr>
                      <m:sty m:val="p"/>
                    </m:rPr>
                    <m:t>e</m:t>
                  </m:r>
                  <m:r>
                    <m:rPr>
                      <m:sty m:val="p"/>
                    </m:rPr>
                    <m:t>c</m:t>
                  </m:r>
                </m:sub>
                <m:sup>
                  <m:r>
                    <m:t>T</m:t>
                  </m:r>
                </m:sup>
              </m:sSubSup>
            </m:oMath>
          </w:p>
        </w:tc>
        <w:tc>
          <w:tcPr/>
          <w:p>
            <w:pPr>
              <w:pStyle w:val="Compact"/>
              <w:jc w:val="right"/>
            </w:pPr>
            <w:r>
              <w:t xml:space="preserve">0.14929</w:t>
            </w:r>
          </w:p>
        </w:tc>
        <w:tc>
          <w:tcPr/>
          <w:p>
            <w:pPr>
              <w:pStyle w:val="Compact"/>
              <w:jc w:val="right"/>
            </w:pPr>
            <w:r>
              <w:t xml:space="preserve">0.32673</w:t>
            </w:r>
          </w:p>
        </w:tc>
        <w:tc>
          <w:tcPr/>
          <w:p>
            <w:pPr>
              <w:pStyle w:val="Compact"/>
              <w:jc w:val="right"/>
            </w:pPr>
            <w:r>
              <w:t xml:space="preserve">0.19575</w:t>
            </w:r>
          </w:p>
        </w:tc>
        <w:tc>
          <w:tcPr/>
          <w:p>
            <w:pPr>
              <w:pStyle w:val="Compact"/>
              <w:jc w:val="right"/>
            </w:pPr>
            <w:r>
              <w:t xml:space="preserve">0.19575</w:t>
            </w:r>
          </w:p>
        </w:tc>
      </w:tr>
      <w:tr>
        <w:tc>
          <w:tcPr/>
          <w:p>
            <w:pPr>
              <w:pStyle w:val="Compact"/>
              <w:jc w:val="left"/>
            </w:pPr>
            <m:oMath>
              <m:sSubSup>
                <m:e>
                  <m:r>
                    <m:t>β</m:t>
                  </m:r>
                </m:e>
                <m:sub>
                  <m:r>
                    <m:rPr>
                      <m:sty m:val="p"/>
                    </m:rPr>
                    <m:t>r</m:t>
                  </m:r>
                  <m:r>
                    <m:rPr>
                      <m:sty m:val="p"/>
                    </m:rPr>
                    <m:t>e</m:t>
                  </m:r>
                  <m:r>
                    <m:rPr>
                      <m:sty m:val="p"/>
                    </m:rPr>
                    <m:t>c</m:t>
                  </m:r>
                </m:sub>
                <m:sup>
                  <m:r>
                    <m:t>S</m:t>
                  </m:r>
                </m:sup>
              </m:sSubSup>
            </m:oMath>
          </w:p>
        </w:tc>
        <w:tc>
          <w:tcPr/>
          <w:p>
            <w:pPr>
              <w:pStyle w:val="Compact"/>
              <w:jc w:val="right"/>
            </w:pPr>
            <w:r>
              <w:t xml:space="preserve">[1]</w:t>
            </w:r>
          </w:p>
        </w:tc>
        <w:tc>
          <w:tcPr/>
          <w:p>
            <w:pPr>
              <w:pStyle w:val="Compact"/>
              <w:jc w:val="right"/>
            </w:pPr>
            <w:r>
              <w:t xml:space="preserve">[1]</w:t>
            </w:r>
          </w:p>
        </w:tc>
        <w:tc>
          <w:tcPr/>
          <w:p>
            <w:pPr>
              <w:pStyle w:val="Compact"/>
              <w:jc w:val="right"/>
            </w:pPr>
            <w:r>
              <w:t xml:space="preserve">[1]</w:t>
            </w:r>
          </w:p>
        </w:tc>
        <w:tc>
          <w:tcPr/>
          <w:p>
            <w:pPr>
              <w:pStyle w:val="Compact"/>
              <w:jc w:val="right"/>
            </w:pPr>
            <w:r>
              <w:t xml:space="preserve">[1]</w:t>
            </w:r>
          </w:p>
        </w:tc>
      </w:tr>
      <w:tr>
        <w:tc>
          <w:tcPr/>
          <w:p>
            <w:pPr>
              <w:pStyle w:val="Compact"/>
              <w:jc w:val="left"/>
            </w:pPr>
            <m:oMath>
              <m:r>
                <m:t>α</m:t>
              </m:r>
            </m:oMath>
          </w:p>
        </w:tc>
        <w:tc>
          <w:tcPr/>
          <w:p>
            <w:pPr>
              <w:pStyle w:val="Compact"/>
              <w:jc w:val="right"/>
            </w:pPr>
            <w:r>
              <w:t xml:space="preserve">7.7623</w:t>
            </w:r>
          </w:p>
        </w:tc>
        <w:tc>
          <w:tcPr/>
          <w:p>
            <w:pPr>
              <w:pStyle w:val="Compact"/>
              <w:jc w:val="right"/>
            </w:pPr>
            <w:r>
              <w:t xml:space="preserve">2.4052</w:t>
            </w:r>
          </w:p>
        </w:tc>
        <w:tc>
          <w:tcPr/>
          <w:p>
            <w:pPr>
              <w:pStyle w:val="Compact"/>
              <w:jc w:val="right"/>
            </w:pPr>
            <w:r>
              <w:t xml:space="preserve">2.8967</w:t>
            </w:r>
          </w:p>
        </w:tc>
        <w:tc>
          <w:tcPr/>
          <w:p>
            <w:pPr>
              <w:pStyle w:val="Compact"/>
              <w:jc w:val="right"/>
            </w:pPr>
            <w:r>
              <w:t xml:space="preserve">2.8967</w:t>
            </w:r>
          </w:p>
        </w:tc>
      </w:tr>
      <w:tr>
        <w:tc>
          <w:tcPr/>
          <w:p>
            <w:pPr>
              <w:pStyle w:val="Compact"/>
              <w:jc w:val="left"/>
            </w:pPr>
            <m:oMath>
              <m:r>
                <m:t>δ</m:t>
              </m:r>
            </m:oMath>
          </w:p>
        </w:tc>
        <w:tc>
          <w:tcPr/>
          <w:p>
            <w:pPr>
              <w:pStyle w:val="Compact"/>
              <w:jc w:val="right"/>
            </w:pPr>
            <w:r>
              <w:t xml:space="preserve">94.112</w:t>
            </w:r>
          </w:p>
        </w:tc>
        <w:tc>
          <w:tcPr/>
          <w:p>
            <w:pPr>
              <w:pStyle w:val="Compact"/>
              <w:jc w:val="right"/>
            </w:pPr>
            <w:r>
              <w:t xml:space="preserve">38.867</w:t>
            </w:r>
          </w:p>
        </w:tc>
        <w:tc>
          <w:tcPr/>
          <w:p>
            <w:pPr>
              <w:pStyle w:val="Compact"/>
              <w:jc w:val="right"/>
            </w:pPr>
            <w:r>
              <w:t xml:space="preserve">30.717</w:t>
            </w:r>
          </w:p>
        </w:tc>
        <w:tc>
          <w:tcPr/>
          <w:p>
            <w:pPr>
              <w:pStyle w:val="Compact"/>
              <w:jc w:val="right"/>
            </w:pPr>
            <w:r>
              <w:t xml:space="preserve">30.717</w:t>
            </w:r>
          </w:p>
        </w:tc>
      </w:tr>
      <w:tr>
        <w:tc>
          <w:tcPr/>
          <w:p>
            <w:pPr>
              <w:pStyle w:val="Compact"/>
              <w:jc w:val="left"/>
            </w:pPr>
            <m:oMath>
              <m:r>
                <m:t>γ</m:t>
              </m:r>
            </m:oMath>
          </w:p>
        </w:tc>
        <w:tc>
          <w:tcPr/>
          <w:p>
            <w:pPr>
              <w:pStyle w:val="Compact"/>
              <w:jc w:val="right"/>
            </w:pPr>
            <w:r>
              <w:t xml:space="preserve">0.19099</w:t>
            </w:r>
          </w:p>
        </w:tc>
        <w:tc>
          <w:tcPr/>
          <w:p>
            <w:pPr>
              <w:pStyle w:val="Compact"/>
              <w:jc w:val="right"/>
            </w:pPr>
            <w:r>
              <w:t xml:space="preserve">0.21932</w:t>
            </w:r>
          </w:p>
        </w:tc>
        <w:tc>
          <w:tcPr/>
          <w:p>
            <w:pPr>
              <w:pStyle w:val="Compact"/>
              <w:jc w:val="right"/>
            </w:pPr>
            <w:r>
              <w:t xml:space="preserve">0.24409</w:t>
            </w:r>
          </w:p>
        </w:tc>
        <w:tc>
          <w:tcPr/>
          <w:p>
            <w:pPr>
              <w:pStyle w:val="Compact"/>
              <w:jc w:val="right"/>
            </w:pPr>
            <w:r>
              <w:t xml:space="preserve">0.24409</w:t>
            </w:r>
          </w:p>
        </w:tc>
      </w:tr>
      <w:tr>
        <w:tc>
          <w:tcPr/>
          <w:p>
            <w:pPr>
              <w:pStyle w:val="Compact"/>
              <w:jc w:val="left"/>
            </w:pPr>
            <m:oMath>
              <m:sSub>
                <m:e>
                  <m:r>
                    <m:t>ϕ</m:t>
                  </m:r>
                </m:e>
                <m:sub>
                  <m:r>
                    <m:t>s</m:t>
                  </m:r>
                </m:sub>
              </m:sSub>
            </m:oMath>
          </w:p>
        </w:tc>
        <w:tc>
          <w:tcPr/>
          <w:p>
            <w:pPr>
              <w:pStyle w:val="Compact"/>
              <w:jc w:val="right"/>
            </w:pPr>
            <w:r>
              <w:t xml:space="preserve">0.43136</w:t>
            </w:r>
          </w:p>
        </w:tc>
        <w:tc>
          <w:tcPr/>
          <w:p>
            <w:pPr>
              <w:pStyle w:val="Compact"/>
              <w:jc w:val="right"/>
            </w:pPr>
            <w:r>
              <w:t xml:space="preserve">1.0300</w:t>
            </w:r>
          </w:p>
        </w:tc>
        <w:tc>
          <w:tcPr/>
          <w:p>
            <w:pPr>
              <w:pStyle w:val="Compact"/>
              <w:jc w:val="right"/>
            </w:pPr>
            <w:r>
              <w:t xml:space="preserve">0.51366</w:t>
            </w:r>
          </w:p>
        </w:tc>
        <w:tc>
          <w:tcPr/>
          <w:p>
            <w:pPr>
              <w:pStyle w:val="Compact"/>
              <w:jc w:val="right"/>
            </w:pPr>
            <w:r>
              <w:t xml:space="preserve">0.51366</w:t>
            </w:r>
          </w:p>
        </w:tc>
      </w:tr>
      <w:tr>
        <w:tc>
          <w:tcPr/>
          <w:p>
            <w:pPr>
              <w:pStyle w:val="Compact"/>
              <w:jc w:val="left"/>
            </w:pPr>
            <m:oMath>
              <m:sSub>
                <m:e>
                  <m:r>
                    <m:t>ϕ</m:t>
                  </m:r>
                </m:e>
                <m:sub>
                  <m:r>
                    <m:t>d</m:t>
                  </m:r>
                </m:sub>
              </m:sSub>
            </m:oMath>
          </w:p>
        </w:tc>
        <w:tc>
          <w:tcPr/>
          <w:p>
            <w:pPr>
              <w:pStyle w:val="Compact"/>
              <w:jc w:val="right"/>
            </w:pPr>
            <w:r>
              <w:t xml:space="preserve">1.6925</w:t>
            </w:r>
          </w:p>
        </w:tc>
        <w:tc>
          <w:tcPr/>
          <w:p>
            <w:pPr>
              <w:pStyle w:val="Compact"/>
              <w:jc w:val="right"/>
            </w:pPr>
            <w:r>
              <w:t xml:space="preserve">1.1998</w:t>
            </w:r>
          </w:p>
        </w:tc>
        <w:tc>
          <w:tcPr/>
          <w:p>
            <w:pPr>
              <w:pStyle w:val="Compact"/>
              <w:jc w:val="right"/>
            </w:pPr>
            <w:r>
              <w:t xml:space="preserve">1.8352</w:t>
            </w:r>
          </w:p>
        </w:tc>
        <w:tc>
          <w:tcPr/>
          <w:p>
            <w:pPr>
              <w:pStyle w:val="Compact"/>
              <w:jc w:val="right"/>
            </w:pPr>
            <w:r>
              <w:t xml:space="preserve">1.8352</w:t>
            </w:r>
          </w:p>
        </w:tc>
      </w:tr>
      <w:tr>
        <w:tc>
          <w:tcPr/>
          <w:p>
            <w:pPr>
              <w:pStyle w:val="Compact"/>
              <w:jc w:val="left"/>
            </w:pPr>
            <m:oMath>
              <m:sSub>
                <m:e>
                  <m:r>
                    <m:t>τ</m:t>
                  </m:r>
                </m:e>
                <m:sub>
                  <m:r>
                    <m:t>c</m:t>
                  </m:r>
                </m:sub>
              </m:sSub>
            </m:oMath>
          </w:p>
        </w:tc>
        <w:tc>
          <w:tcPr/>
          <w:p>
            <w:pPr>
              <w:pStyle w:val="Compact"/>
              <w:jc w:val="right"/>
            </w:pPr>
            <w:r>
              <w:t xml:space="preserve">1.8059</w:t>
            </w:r>
          </w:p>
        </w:tc>
        <w:tc>
          <w:tcPr/>
          <w:p>
            <w:pPr>
              <w:pStyle w:val="Compact"/>
              <w:jc w:val="right"/>
            </w:pPr>
            <w:r>
              <w:t xml:space="preserve">1.3229</w:t>
            </w:r>
          </w:p>
        </w:tc>
        <w:tc>
          <w:tcPr/>
          <w:p>
            <w:pPr>
              <w:pStyle w:val="Compact"/>
              <w:jc w:val="right"/>
            </w:pPr>
            <w:r>
              <w:t xml:space="preserve">1.6787</w:t>
            </w:r>
          </w:p>
        </w:tc>
        <w:tc>
          <w:tcPr/>
          <w:p>
            <w:pPr>
              <w:pStyle w:val="Compact"/>
              <w:jc w:val="right"/>
            </w:pPr>
            <w:r>
              <w:t xml:space="preserve">1.6787</w:t>
            </w:r>
          </w:p>
        </w:tc>
      </w:tr>
      <w:tr>
        <w:tc>
          <w:tcPr/>
          <w:p>
            <w:pPr>
              <w:pStyle w:val="Compact"/>
              <w:jc w:val="left"/>
            </w:pPr>
            <m:oMath>
              <m:r>
                <m:t>ω</m:t>
              </m:r>
            </m:oMath>
          </w:p>
        </w:tc>
        <w:tc>
          <w:tcPr/>
          <w:p>
            <w:pPr>
              <w:pStyle w:val="Compact"/>
              <w:jc w:val="right"/>
            </w:pPr>
            <w:r>
              <w:t xml:space="preserve">1.7292</w:t>
            </w:r>
          </w:p>
        </w:tc>
        <w:tc>
          <w:tcPr/>
          <w:p>
            <w:pPr>
              <w:pStyle w:val="Compact"/>
              <w:jc w:val="right"/>
            </w:pPr>
            <w:r>
              <w:t xml:space="preserve">1.4715</w:t>
            </w:r>
          </w:p>
        </w:tc>
        <w:tc>
          <w:tcPr/>
          <w:p>
            <w:pPr>
              <w:pStyle w:val="Compact"/>
              <w:jc w:val="right"/>
            </w:pPr>
            <w:r>
              <w:t xml:space="preserve">1.3416</w:t>
            </w:r>
          </w:p>
        </w:tc>
        <w:tc>
          <w:tcPr/>
          <w:p>
            <w:pPr>
              <w:pStyle w:val="Compact"/>
              <w:jc w:val="right"/>
            </w:pPr>
            <w:r>
              <w:t xml:space="preserve">1.3416</w:t>
            </w:r>
          </w:p>
        </w:tc>
      </w:tr>
      <w:tr>
        <w:tc>
          <w:tcPr/>
          <w:p>
            <w:pPr>
              <w:pStyle w:val="Compact"/>
              <w:jc w:val="left"/>
            </w:pPr>
            <m:oMath>
              <m:sSub>
                <m:e>
                  <m:r>
                    <m:t>ϕ</m:t>
                  </m:r>
                </m:e>
                <m:sub>
                  <m:r>
                    <m:rPr>
                      <m:sty m:val="p"/>
                    </m:rPr>
                    <m:t>e</m:t>
                  </m:r>
                  <m:r>
                    <m:rPr>
                      <m:sty m:val="p"/>
                    </m:rPr>
                    <m:t>m</m:t>
                  </m:r>
                  <m:r>
                    <m:rPr>
                      <m:sty m:val="p"/>
                    </m:rPr>
                    <m:t>o</m:t>
                  </m:r>
                  <m:r>
                    <m:rPr>
                      <m:sty m:val="p"/>
                    </m:rPr>
                    <m:t>t</m:t>
                  </m:r>
                </m:sub>
              </m:sSub>
            </m:oMath>
          </w:p>
        </w:tc>
        <w:tc>
          <w:tcPr/>
          <w:p>
            <w:pPr>
              <w:pStyle w:val="Compact"/>
              <w:jc w:val="right"/>
            </w:pPr>
            <w:r>
              <w:t xml:space="preserve">2.6595</w:t>
            </w:r>
          </w:p>
        </w:tc>
        <w:tc>
          <w:tcPr/>
          <w:p>
            <w:pPr>
              <w:pStyle w:val="Compact"/>
              <w:jc w:val="right"/>
            </w:pPr>
            <w:r>
              <w:t xml:space="preserve">2.4435</w:t>
            </w:r>
          </w:p>
        </w:tc>
        <w:tc>
          <w:tcPr/>
          <w:p>
            <w:pPr>
              <w:pStyle w:val="Compact"/>
              <w:jc w:val="right"/>
            </w:pPr>
            <w:r>
              <w:t xml:space="preserve">1.8613</w:t>
            </w:r>
          </w:p>
        </w:tc>
        <w:tc>
          <w:tcPr/>
          <w:p>
            <w:pPr>
              <w:pStyle w:val="Compact"/>
              <w:jc w:val="right"/>
            </w:pPr>
            <w:r>
              <w:t xml:space="preserve">1.8613</w:t>
            </w:r>
          </w:p>
        </w:tc>
      </w:tr>
      <w:tr>
        <w:tc>
          <w:tcPr/>
          <w:p>
            <w:pPr>
              <w:pStyle w:val="Compact"/>
              <w:jc w:val="left"/>
            </w:pPr>
            <m:oMath>
              <m:r>
                <m:t>κ</m:t>
              </m:r>
            </m:oMath>
          </w:p>
        </w:tc>
        <w:tc>
          <w:tcPr/>
          <w:p>
            <w:pPr>
              <w:pStyle w:val="Compact"/>
              <w:jc w:val="right"/>
            </w:pPr>
            <w:r>
              <w:t xml:space="preserve">[0]</w:t>
            </w:r>
          </w:p>
        </w:tc>
        <w:tc>
          <w:tcPr/>
          <w:p>
            <w:pPr>
              <w:pStyle w:val="Compact"/>
              <w:jc w:val="right"/>
            </w:pPr>
            <w:r>
              <w:t xml:space="preserve">0.12845</w:t>
            </w:r>
          </w:p>
        </w:tc>
        <w:tc>
          <w:tcPr/>
          <w:p>
            <w:pPr>
              <w:pStyle w:val="Compact"/>
              <w:jc w:val="right"/>
            </w:pPr>
            <w:r>
              <w:t xml:space="preserve">[0]</w:t>
            </w:r>
          </w:p>
        </w:tc>
        <w:tc>
          <w:tcPr/>
          <w:p>
            <w:pPr>
              <w:pStyle w:val="Compact"/>
              <w:jc w:val="right"/>
            </w:pPr>
            <w:r>
              <w:t xml:space="preserve">0</w:t>
            </w:r>
          </w:p>
        </w:tc>
      </w:tr>
      <w:tr>
        <w:tc>
          <w:tcPr/>
          <w:p>
            <w:pPr>
              <w:pStyle w:val="Compact"/>
              <w:jc w:val="left"/>
            </w:pPr>
            <m:oMath>
              <m:sSub>
                <m:e>
                  <m:r>
                    <m:t>κ</m:t>
                  </m:r>
                </m:e>
                <m:sub>
                  <m:r>
                    <m:rPr>
                      <m:sty m:val="p"/>
                    </m:rPr>
                    <m:t>e</m:t>
                  </m:r>
                  <m:r>
                    <m:rPr>
                      <m:sty m:val="p"/>
                    </m:rPr>
                    <m:t>m</m:t>
                  </m:r>
                  <m:r>
                    <m:rPr>
                      <m:sty m:val="p"/>
                    </m:rPr>
                    <m:t>o</m:t>
                  </m:r>
                  <m:r>
                    <m:rPr>
                      <m:sty m:val="p"/>
                    </m:rPr>
                    <m:t>t</m:t>
                  </m:r>
                </m:sub>
              </m:sSub>
            </m:oMath>
          </w:p>
        </w:tc>
        <w:tc>
          <w:tcPr/>
          <w:p>
            <w:pPr>
              <w:pStyle w:val="Compact"/>
              <w:jc w:val="right"/>
            </w:pPr>
            <w:r>
              <w:t xml:space="preserve">[0]</w:t>
            </w:r>
          </w:p>
        </w:tc>
        <w:tc>
          <w:tcPr/>
          <w:p>
            <w:pPr>
              <w:pStyle w:val="Compact"/>
              <w:jc w:val="right"/>
            </w:pPr>
            <w:r>
              <w:t xml:space="preserve">[0]</w:t>
            </w:r>
          </w:p>
        </w:tc>
        <w:tc>
          <w:tcPr/>
          <w:p>
            <w:pPr>
              <w:pStyle w:val="Compact"/>
              <w:jc w:val="right"/>
            </w:pPr>
            <w:r>
              <w:t xml:space="preserve">0.11006</w:t>
            </w:r>
          </w:p>
        </w:tc>
        <w:tc>
          <w:tcPr/>
          <w:p>
            <w:pPr>
              <w:pStyle w:val="Compact"/>
              <w:jc w:val="right"/>
            </w:pPr>
            <w:r>
              <w:t xml:space="preserve">0.11006</w:t>
            </w:r>
          </w:p>
        </w:tc>
      </w:tr>
    </w:tbl>
    <w:bookmarkEnd w:id="176"/>
    <w:p>
      <w:pPr>
        <w:pStyle w:val="FigureNote"/>
      </w:pPr>
      <w:r>
        <w:rPr>
          <w:i/>
          <w:iCs/>
        </w:rPr>
        <w:t xml:space="preserve">Note</w:t>
      </w:r>
      <w:r>
        <w:t xml:space="preserve">. Estimates are rounded to five significant digits; square brackets identify parameters fixed by the model specification. Parameter roles and fitted ranges are reported in Table 2. The Combined LPP models retained the corresponding Emotion-dependent solutions evaluated with</w:t>
      </w:r>
      <w:r>
        <w:t xml:space="preserve"> </w:t>
      </w:r>
      <m:oMath>
        <m:r>
          <m:t>κ</m:t>
        </m:r>
        <m:r>
          <m:rPr>
            <m:sty m:val="p"/>
          </m:rPr>
          <m:t>=</m:t>
        </m:r>
        <m:r>
          <m:t>0</m:t>
        </m:r>
      </m:oMath>
      <w:r>
        <w:t xml:space="preserve">; all other estimates therefore repeat those columns. The unbracketed</w:t>
      </w:r>
      <w:r>
        <w:t xml:space="preserve"> </w:t>
      </w:r>
      <m:oMath>
        <m:r>
          <m:t>κ</m:t>
        </m:r>
        <m:r>
          <m:rPr>
            <m:sty m:val="p"/>
          </m:rPr>
          <m:t>=</m:t>
        </m:r>
        <m:r>
          <m:t>0</m:t>
        </m:r>
      </m:oMath>
      <w:r>
        <w:t xml:space="preserve"> </w:t>
      </w:r>
      <w:r>
        <w:t xml:space="preserve">was estimated, not fixed.</w:t>
      </w:r>
    </w:p>
    <w:p>
      <w:r>
        <w:br w:type="page"/>
      </w:r>
    </w:p>
    <w:bookmarkStart w:id="180" w:name="fig-experimental-procedure"/>
    <w:p>
      <w:pPr>
        <w:pStyle w:val="FigureTitle"/>
      </w:pPr>
      <w:r>
        <w:t xml:space="preserve">Figure 1</w:t>
      </w:r>
    </w:p>
    <w:p>
      <w:pPr>
        <w:pStyle w:val="Caption"/>
      </w:pPr>
      <w:r>
        <w:t xml:space="preserve">Timeline of list encoding and the memory test in the mixed-list condition of Zarubin et al.</w:t>
      </w:r>
      <w:r>
        <w:t xml:space="preserve"> </w:t>
      </w:r>
      <w:r>
        <w:t xml:space="preserve">(</w:t>
      </w:r>
      <w:hyperlink w:anchor="ref-zarubin2020contributions">
        <w:r>
          <w:rPr>
            <w:rStyle w:val="Hyperlink"/>
          </w:rPr>
          <w:t xml:space="preserve">2020</w:t>
        </w:r>
      </w:hyperlink>
      <w:r>
        <w:t xml:space="preserve">)</w:t>
      </w:r>
      <w:r>
        <w:t xml:space="preserve">. Each list comprised 22 pictures, and there were nine lists in total. The first two pictures in each list served as buffer items and were excluded from all behavioural and EEG analyses. The images shown here were generated with ChatGPT 4 and are provided for illustration only.</w:t>
      </w:r>
    </w:p>
    <w:p>
      <w:pPr>
        <w:pStyle w:val="FigureWithoutNote"/>
      </w:pPr>
      <w:r>
        <w:drawing>
          <wp:inline>
            <wp:extent cx="3982212" cy="3775726"/>
            <wp:effectExtent b="0" l="0" r="0" t="0"/>
            <wp:docPr descr="" title="" id="178" name="Picture"/>
            <a:graphic>
              <a:graphicData uri="http://schemas.openxmlformats.org/drawingml/2006/picture">
                <pic:pic>
                  <pic:nvPicPr>
                    <pic:cNvPr descr="figures/manuscript/figure1_experimental_procedure.png" id="179" name="Picture"/>
                    <pic:cNvPicPr>
                      <a:picLocks noChangeArrowheads="1" noChangeAspect="1"/>
                    </pic:cNvPicPr>
                  </pic:nvPicPr>
                  <pic:blipFill>
                    <a:blip r:embed="rId177"/>
                    <a:stretch>
                      <a:fillRect/>
                    </a:stretch>
                  </pic:blipFill>
                  <pic:spPr bwMode="auto">
                    <a:xfrm>
                      <a:off x="0" y="0"/>
                      <a:ext cx="3982212" cy="3775726"/>
                    </a:xfrm>
                    <a:prstGeom prst="rect">
                      <a:avLst/>
                    </a:prstGeom>
                    <a:noFill/>
                    <a:ln w="9525">
                      <a:noFill/>
                      <a:headEnd/>
                      <a:tailEnd/>
                    </a:ln>
                  </pic:spPr>
                </pic:pic>
              </a:graphicData>
            </a:graphic>
          </wp:inline>
        </w:drawing>
      </w:r>
    </w:p>
    <w:bookmarkEnd w:id="180"/>
    <w:p>
      <w:r>
        <w:br w:type="page"/>
      </w:r>
    </w:p>
    <w:bookmarkStart w:id="184" w:name="fig-focal-erp"/>
    <w:p>
      <w:pPr>
        <w:pStyle w:val="FigureTitle"/>
      </w:pPr>
      <w:r>
        <w:t xml:space="preserve">Figure 2</w:t>
      </w:r>
    </w:p>
    <w:p>
      <w:pPr>
        <w:pStyle w:val="Caption"/>
      </w:pPr>
      <w:r>
        <w:rPr>
          <w:b/>
          <w:bCs/>
        </w:rPr>
        <w:t xml:space="preserve">Focal ERP analysis.</w:t>
      </w:r>
      <w:r>
        <w:t xml:space="preserve"> </w:t>
      </w:r>
      <w:r>
        <w:rPr>
          <w:b/>
          <w:bCs/>
        </w:rPr>
        <w:t xml:space="preserve">A</w:t>
      </w:r>
      <w:r>
        <w:t xml:space="preserve">) Event-related potentials (ERPs) from the encoding phase of the experiment averaged from the region of interest included in the focal ERP analysis (electrodes Cz, CP1, CP2, Pz). Conditions: red = negative items, black = neutral items; solid line = subsequently remembered items, dashed line = subsequently forgotten items.</w:t>
      </w:r>
      <w:r>
        <w:t xml:space="preserve"> </w:t>
      </w:r>
      <w:r>
        <w:rPr>
          <w:b/>
          <w:bCs/>
        </w:rPr>
        <w:t xml:space="preserve">B</w:t>
      </w:r>
      <w:r>
        <w:t xml:space="preserve">) Z-transformed ERP amplitudes from the early LPP time window (400-1000 ms post stimulus presentation). Grey dots indicate means from individual participants, the black dot indicate the group mean and the error bar shows the 95% confidence interval of the mean. Light grey lines display what condition means comes from the same participant. Significance levels: *** &lt; .001, * &lt; .05.</w:t>
      </w:r>
      <w:r>
        <w:t xml:space="preserve"> </w:t>
      </w:r>
      <w:r>
        <w:rPr>
          <w:b/>
          <w:bCs/>
        </w:rPr>
        <w:t xml:space="preserve">C</w:t>
      </w:r>
      <w:r>
        <w:t xml:space="preserve">) Z-transformed ERP amplitudes from the late LPP time window (1000-2000 ms post stimulus presentation).</w:t>
      </w:r>
    </w:p>
    <w:p>
      <w:pPr>
        <w:pStyle w:val="FigureWithoutNote"/>
      </w:pPr>
      <w:r>
        <w:drawing>
          <wp:inline>
            <wp:extent cx="2935265" cy="7382005"/>
            <wp:effectExtent b="0" l="0" r="0" t="0"/>
            <wp:docPr descr="" title="" id="182" name="Picture"/>
            <a:graphic>
              <a:graphicData uri="http://schemas.openxmlformats.org/drawingml/2006/picture">
                <pic:pic>
                  <pic:nvPicPr>
                    <pic:cNvPr descr="figures/manuscript/figure2_focal_erp.png" id="183" name="Picture"/>
                    <pic:cNvPicPr>
                      <a:picLocks noChangeArrowheads="1" noChangeAspect="1"/>
                    </pic:cNvPicPr>
                  </pic:nvPicPr>
                  <pic:blipFill>
                    <a:blip r:embed="rId181"/>
                    <a:stretch>
                      <a:fillRect/>
                    </a:stretch>
                  </pic:blipFill>
                  <pic:spPr bwMode="auto">
                    <a:xfrm>
                      <a:off x="0" y="0"/>
                      <a:ext cx="2935265" cy="7382005"/>
                    </a:xfrm>
                    <a:prstGeom prst="rect">
                      <a:avLst/>
                    </a:prstGeom>
                    <a:noFill/>
                    <a:ln w="9525">
                      <a:noFill/>
                      <a:headEnd/>
                      <a:tailEnd/>
                    </a:ln>
                  </pic:spPr>
                </pic:pic>
              </a:graphicData>
            </a:graphic>
          </wp:inline>
        </w:drawing>
      </w:r>
    </w:p>
    <w:bookmarkEnd w:id="184"/>
    <w:p>
      <w:r>
        <w:br w:type="page"/>
      </w:r>
    </w:p>
    <w:bookmarkStart w:id="188" w:name="fig-global-erp"/>
    <w:p>
      <w:pPr>
        <w:pStyle w:val="FigureTitle"/>
      </w:pPr>
      <w:r>
        <w:t xml:space="preserve">Figure 3</w:t>
      </w:r>
    </w:p>
    <w:p>
      <w:pPr>
        <w:pStyle w:val="Caption"/>
      </w:pPr>
      <w:r>
        <w:t xml:space="preserve">Global ERP analysis. The upper rows (blue to red colourmap) shows amplitude differences between conditions, in the encoding phase of the experiment, in micro volts in the 0-500 milliseconds (ms), 500-1000 ms, 1000-1500 ms and 1500-2000 ms time windows. Lower rows (cold to hot colourmap) show thresholded topographic maps of</w:t>
      </w:r>
      <w:r>
        <w:t xml:space="preserve"> </w:t>
      </w:r>
      <w:r>
        <w:rPr>
          <w:i/>
          <w:iCs/>
        </w:rPr>
        <w:t xml:space="preserve">t</w:t>
      </w:r>
      <w:r>
        <w:t xml:space="preserve">-values from significant clusters from the global ERP analysis for the same time windows. Abbreviations: R = subsequently remembered, F = subsequently forgotten.</w:t>
      </w:r>
    </w:p>
    <w:p>
      <w:pPr>
        <w:pStyle w:val="FigureWithoutNote"/>
      </w:pPr>
      <w:r>
        <w:drawing>
          <wp:inline>
            <wp:extent cx="5230368" cy="5242890"/>
            <wp:effectExtent b="0" l="0" r="0" t="0"/>
            <wp:docPr descr="" title="" id="186" name="Picture"/>
            <a:graphic>
              <a:graphicData uri="http://schemas.openxmlformats.org/drawingml/2006/picture">
                <pic:pic>
                  <pic:nvPicPr>
                    <pic:cNvPr descr="figures/manuscript/figure4_global_erp.png" id="187" name="Picture"/>
                    <pic:cNvPicPr>
                      <a:picLocks noChangeArrowheads="1" noChangeAspect="1"/>
                    </pic:cNvPicPr>
                  </pic:nvPicPr>
                  <pic:blipFill>
                    <a:blip r:embed="rId185"/>
                    <a:stretch>
                      <a:fillRect/>
                    </a:stretch>
                  </pic:blipFill>
                  <pic:spPr bwMode="auto">
                    <a:xfrm>
                      <a:off x="0" y="0"/>
                      <a:ext cx="5230368" cy="5242890"/>
                    </a:xfrm>
                    <a:prstGeom prst="rect">
                      <a:avLst/>
                    </a:prstGeom>
                    <a:noFill/>
                    <a:ln w="9525">
                      <a:noFill/>
                      <a:headEnd/>
                      <a:tailEnd/>
                    </a:ln>
                  </pic:spPr>
                </pic:pic>
              </a:graphicData>
            </a:graphic>
          </wp:inline>
        </w:drawing>
      </w:r>
    </w:p>
    <w:bookmarkEnd w:id="188"/>
    <w:p>
      <w:r>
        <w:br w:type="page"/>
      </w:r>
    </w:p>
    <w:bookmarkStart w:id="192" w:name="fig-lpp-reliability-memory"/>
    <w:p>
      <w:pPr>
        <w:pStyle w:val="FigureTitle"/>
      </w:pPr>
      <w:r>
        <w:t xml:space="preserve">Figure 4</w:t>
      </w:r>
    </w:p>
    <w:p>
      <w:pPr>
        <w:pStyle w:val="Caption"/>
      </w:pPr>
      <w:r>
        <w:rPr>
          <w:b/>
          <w:bCs/>
        </w:rPr>
        <w:t xml:space="preserve">Late positive potential reliability and relationship to subsequent memory.</w:t>
      </w:r>
      <w:r>
        <w:t xml:space="preserve"> </w:t>
      </w:r>
      <w:r>
        <w:rPr>
          <w:b/>
          <w:bCs/>
        </w:rPr>
        <w:t xml:space="preserve">A</w:t>
      </w:r>
      <w:r>
        <w:t xml:space="preserve">) Results from the bootstrap analysis depicting the proportion of bootstrap resampling iterations where the amplitude for the negative condition was more positive than for the neutral condition. The dashed line indicates the reliability threshold set at 0.9. Early LPP time window = 400 ms to 1000 ms, Late LPP time window = 1000 ms to 2000 ms.</w:t>
      </w:r>
      <w:r>
        <w:t xml:space="preserve"> </w:t>
      </w:r>
      <w:r>
        <w:rPr>
          <w:b/>
          <w:bCs/>
        </w:rPr>
        <w:t xml:space="preserve">B</w:t>
      </w:r>
      <w:r>
        <w:t xml:space="preserve">) Between subjects Pearson correlation between the z-transformed amplitude difference between negative and neutral conditions and the emotion enhanced memory effect for the early LPP time window.</w:t>
      </w:r>
      <w:r>
        <w:t xml:space="preserve"> </w:t>
      </w:r>
      <w:r>
        <w:rPr>
          <w:b/>
          <w:bCs/>
        </w:rPr>
        <w:t xml:space="preserve">C</w:t>
      </w:r>
      <w:r>
        <w:t xml:space="preserve">) The same for the late LPP time window.</w:t>
      </w:r>
      <w:r>
        <w:t xml:space="preserve"> </w:t>
      </w:r>
      <w:r>
        <w:rPr>
          <w:b/>
          <w:bCs/>
        </w:rPr>
        <w:t xml:space="preserve">D</w:t>
      </w:r>
      <w:r>
        <w:t xml:space="preserve">) Within subject correlation between LPP amplitude and subsequent memory for the early LPP and the late LPP time windows.</w:t>
      </w:r>
      <w:r>
        <w:t xml:space="preserve"> </w:t>
      </w:r>
      <w:r>
        <w:rPr>
          <w:b/>
          <w:bCs/>
        </w:rPr>
        <w:t xml:space="preserve">E</w:t>
      </w:r>
      <w:r>
        <w:t xml:space="preserve">) Early LPP amplitude predicts recall for negative but not neutral items. Fitted values from the binomial generalized linear mixed-effects model predicting subsequent memory from Emotion, Early LPP amplitude (z), and their interaction.</w:t>
      </w:r>
    </w:p>
    <w:p>
      <w:pPr>
        <w:pStyle w:val="FigureWithoutNote"/>
      </w:pPr>
      <w:r>
        <w:drawing>
          <wp:inline>
            <wp:extent cx="5943600" cy="7701741"/>
            <wp:effectExtent b="0" l="0" r="0" t="0"/>
            <wp:docPr descr="" title="" id="190" name="Picture"/>
            <a:graphic>
              <a:graphicData uri="http://schemas.openxmlformats.org/drawingml/2006/picture">
                <pic:pic>
                  <pic:nvPicPr>
                    <pic:cNvPr descr="figures/manuscript/figure4_lpp_reliability_memory.png" id="191" name="Picture"/>
                    <pic:cNvPicPr>
                      <a:picLocks noChangeArrowheads="1" noChangeAspect="1"/>
                    </pic:cNvPicPr>
                  </pic:nvPicPr>
                  <pic:blipFill>
                    <a:blip r:embed="rId189"/>
                    <a:stretch>
                      <a:fillRect/>
                    </a:stretch>
                  </pic:blipFill>
                  <pic:spPr bwMode="auto">
                    <a:xfrm>
                      <a:off x="0" y="0"/>
                      <a:ext cx="5943600" cy="7701741"/>
                    </a:xfrm>
                    <a:prstGeom prst="rect">
                      <a:avLst/>
                    </a:prstGeom>
                    <a:noFill/>
                    <a:ln w="9525">
                      <a:noFill/>
                      <a:headEnd/>
                      <a:tailEnd/>
                    </a:ln>
                  </pic:spPr>
                </pic:pic>
              </a:graphicData>
            </a:graphic>
          </wp:inline>
        </w:drawing>
      </w:r>
    </w:p>
    <w:bookmarkEnd w:id="192"/>
    <w:p>
      <w:r>
        <w:br w:type="page"/>
      </w:r>
    </w:p>
    <w:bookmarkStart w:id="196" w:name="fig-model-recall-rates"/>
    <w:p>
      <w:pPr>
        <w:pStyle w:val="FigureTitle"/>
      </w:pPr>
      <w:r>
        <w:t xml:space="preserve">Figure 5</w:t>
      </w:r>
    </w:p>
    <w:p>
      <w:pPr>
        <w:pStyle w:val="Caption"/>
      </w:pPr>
      <w:r>
        <w:t xml:space="preserve">Observed and model-predicted recall rates for emotional and neutral items. Brackets show the difference between emotional and neutral items. Observed error bars are 95% participant-cluster bootstrap confidence intervals; predicted error bars are central 95% intervals across 200 complete simulated datasets.</w:t>
      </w:r>
    </w:p>
    <w:p>
      <w:pPr>
        <w:pStyle w:val="FigureWithoutNote"/>
      </w:pPr>
      <w:r>
        <w:drawing>
          <wp:inline>
            <wp:extent cx="5943600" cy="4352825"/>
            <wp:effectExtent b="0" l="0" r="0" t="0"/>
            <wp:docPr descr="" title="" id="194" name="Picture"/>
            <a:graphic>
              <a:graphicData uri="http://schemas.openxmlformats.org/drawingml/2006/picture">
                <pic:pic>
                  <pic:nvPicPr>
                    <pic:cNvPr descr="figures/manuscript/figure5_recall_rates.png" id="195" name="Picture"/>
                    <pic:cNvPicPr>
                      <a:picLocks noChangeArrowheads="1" noChangeAspect="1"/>
                    </pic:cNvPicPr>
                  </pic:nvPicPr>
                  <pic:blipFill>
                    <a:blip r:embed="rId193"/>
                    <a:stretch>
                      <a:fillRect/>
                    </a:stretch>
                  </pic:blipFill>
                  <pic:spPr bwMode="auto">
                    <a:xfrm>
                      <a:off x="0" y="0"/>
                      <a:ext cx="5943600" cy="4352825"/>
                    </a:xfrm>
                    <a:prstGeom prst="rect">
                      <a:avLst/>
                    </a:prstGeom>
                    <a:noFill/>
                    <a:ln w="9525">
                      <a:noFill/>
                      <a:headEnd/>
                      <a:tailEnd/>
                    </a:ln>
                  </pic:spPr>
                </pic:pic>
              </a:graphicData>
            </a:graphic>
          </wp:inline>
        </w:drawing>
      </w:r>
    </w:p>
    <w:bookmarkEnd w:id="196"/>
    <w:p>
      <w:r>
        <w:br w:type="page"/>
      </w:r>
    </w:p>
    <w:bookmarkStart w:id="200" w:name="fig-model-early-lpp"/>
    <w:p>
      <w:pPr>
        <w:pStyle w:val="FigureTitle"/>
      </w:pPr>
      <w:r>
        <w:t xml:space="preserve">Figure 6</w:t>
      </w:r>
    </w:p>
    <w:p>
      <w:pPr>
        <w:pStyle w:val="Caption"/>
      </w:pPr>
      <w:r>
        <w:t xml:space="preserve">Observed and model-predicted standardized Early LPP by item category and memory status. Brackets show the difference between remembered and forgotten items within each category. Observed error bars are 95% participant-bootstrap confidence intervals; predicted error bars are central 95% intervals across 200 complete simulated datasets.</w:t>
      </w:r>
    </w:p>
    <w:p>
      <w:pPr>
        <w:pStyle w:val="FigureWithoutNote"/>
      </w:pPr>
      <w:r>
        <w:drawing>
          <wp:inline>
            <wp:extent cx="5943600" cy="4771505"/>
            <wp:effectExtent b="0" l="0" r="0" t="0"/>
            <wp:docPr descr="" title="" id="198" name="Picture"/>
            <a:graphic>
              <a:graphicData uri="http://schemas.openxmlformats.org/drawingml/2006/picture">
                <pic:pic>
                  <pic:nvPicPr>
                    <pic:cNvPr descr="figures/manuscript/figure6_early_lpp.png" id="199" name="Picture"/>
                    <pic:cNvPicPr>
                      <a:picLocks noChangeArrowheads="1" noChangeAspect="1"/>
                    </pic:cNvPicPr>
                  </pic:nvPicPr>
                  <pic:blipFill>
                    <a:blip r:embed="rId197"/>
                    <a:stretch>
                      <a:fillRect/>
                    </a:stretch>
                  </pic:blipFill>
                  <pic:spPr bwMode="auto">
                    <a:xfrm>
                      <a:off x="0" y="0"/>
                      <a:ext cx="5943600" cy="4771505"/>
                    </a:xfrm>
                    <a:prstGeom prst="rect">
                      <a:avLst/>
                    </a:prstGeom>
                    <a:noFill/>
                    <a:ln w="9525">
                      <a:noFill/>
                      <a:headEnd/>
                      <a:tailEnd/>
                    </a:ln>
                  </pic:spPr>
                </pic:pic>
              </a:graphicData>
            </a:graphic>
          </wp:inline>
        </w:drawing>
      </w:r>
    </w:p>
    <w:bookmarkEnd w:id="200"/>
    <w:p>
      <w:r>
        <w:br w:type="page"/>
      </w:r>
    </w:p>
    <w:bookmarkEnd w:id="201"/>
    <w:sectPr w:rsidR="007868AB" w:rsidRPr="005528BA">
      <w:headerReference r:id="rId9" w:type="even"/>
      <w:headerReference r:id="rId11" w:type="default"/>
      <w:footerReference r:id="rId14" w:type="even"/>
      <w:footerReference r:id="rId13" w:type="default"/>
      <w:headerReference r:id="rId10" w:type="first"/>
      <w:footerReference r:id="rId12"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A7EE" w14:textId="77777777" w:rsidR="00BB5C76" w:rsidRDefault="00BB5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C7AE" w14:textId="77777777" w:rsidR="00BB5C76" w:rsidRDefault="00BB5C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098C" w14:textId="77777777" w:rsidR="00BB5C76" w:rsidRDefault="00BB5C7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B696" w14:textId="77777777" w:rsidR="00BB5C76" w:rsidRDefault="00BB5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A480" w14:textId="7EF1670F" w:rsidR="00340B9E" w:rsidRPr="000D23CF" w:rsidRDefault="00000000" w:rsidP="000D23CF">
    <w:pPr>
      <w:tabs>
        <w:tab w:val="right" w:pos="9360"/>
      </w:tabs>
    </w:pPr>
    <w:sdt>
      <w:sdtPr>
        <w:alias w:val="Comments"/>
        <w:tag w:val=""/>
        <w:id w:val="411821190"/>
        <w:placeholder>
          <w:docPart w:val="0C02FC99099648D19246354A6487E13A"/>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BB5C76" w:rsidRPr="00361F1C">
          <w:rPr>
            <w:rStyle w:val="PlaceholderText"/>
          </w:rPr>
          <w:t>[Comments]</w:t>
        </w:r>
      </w:sdtContent>
    </w:sdt>
    <w:r w:rsidR="000D23CF">
      <w:tab/>
    </w:r>
    <w:r w:rsidR="000D23CF">
      <w:fldChar w:fldCharType="begin"/>
    </w:r>
    <w:r w:rsidR="000D23CF">
      <w:instrText xml:space="preserve"> PAGE   \* MERGEFORMAT </w:instrText>
    </w:r>
    <w:r w:rsidR="000D23CF">
      <w:fldChar w:fldCharType="separate"/>
    </w:r>
    <w:r w:rsidR="000D23CF">
      <w:rPr>
        <w:noProof/>
      </w:rPr>
      <w:t>1</w:t>
    </w:r>
    <w:r w:rsidR="000D23CF">
      <w:rPr>
        <w:noProof/>
      </w:rPr>
      <w:fldChar w:fldCharType="end"/>
    </w:r>
  </w:p>
  <w:p w14:paraId="0B6AFBF4" w14:textId="77777777" w:rsidR="00340B9E" w:rsidRDefault="00340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26B0" w14:textId="77777777" w:rsidR="00BB5C76" w:rsidRDefault="00BB5C76">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631A5F20"/>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8AA8C720"/>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0A3E2FDE"/>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DC147E68"/>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839682B4"/>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E2128A1A"/>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D18C86DE"/>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165E97E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5509728"/>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38C8C9DE"/>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5D1079BE"/>
    <w:multiLevelType w:val="hybridMultilevel"/>
    <w:tmpl w:val="589A61B8"/>
    <w:lvl w:ilvl="0" w:tplc="2A80B848">
      <w:start w:val="1"/>
      <w:numFmt w:val="decimal"/>
      <w:pStyle w:val="APAEnumerated"/>
      <w:lvlText w:val="%1."/>
      <w:lvlJc w:val="left"/>
      <w:pPr>
        <w:ind w:hanging="360" w:left="360"/>
      </w:pPr>
      <w:rPr>
        <w:rFonts w:hint="default"/>
      </w:rPr>
    </w:lvl>
    <w:lvl w:ilvl="1" w:tentative="1" w:tplc="04090019">
      <w:start w:val="1"/>
      <w:numFmt w:val="lowerLetter"/>
      <w:lvlText w:val="%2."/>
      <w:lvlJc w:val="left"/>
      <w:pPr>
        <w:ind w:hanging="360" w:left="1080"/>
      </w:pPr>
    </w:lvl>
    <w:lvl w:ilvl="2" w:tentative="1" w:tplc="0409001B">
      <w:start w:val="1"/>
      <w:numFmt w:val="lowerRoman"/>
      <w:lvlText w:val="%3."/>
      <w:lvlJc w:val="right"/>
      <w:pPr>
        <w:ind w:hanging="180" w:left="1800"/>
      </w:pPr>
    </w:lvl>
    <w:lvl w:ilvl="3" w:tentative="1" w:tplc="0409000F">
      <w:start w:val="1"/>
      <w:numFmt w:val="decimal"/>
      <w:lvlText w:val="%4."/>
      <w:lvlJc w:val="left"/>
      <w:pPr>
        <w:ind w:hanging="360" w:left="2520"/>
      </w:pPr>
    </w:lvl>
    <w:lvl w:ilvl="4" w:tentative="1" w:tplc="04090019">
      <w:start w:val="1"/>
      <w:numFmt w:val="lowerLetter"/>
      <w:lvlText w:val="%5."/>
      <w:lvlJc w:val="left"/>
      <w:pPr>
        <w:ind w:hanging="360" w:left="3240"/>
      </w:pPr>
    </w:lvl>
    <w:lvl w:ilvl="5" w:tentative="1" w:tplc="0409001B">
      <w:start w:val="1"/>
      <w:numFmt w:val="lowerRoman"/>
      <w:lvlText w:val="%6."/>
      <w:lvlJc w:val="right"/>
      <w:pPr>
        <w:ind w:hanging="180" w:left="3960"/>
      </w:pPr>
    </w:lvl>
    <w:lvl w:ilvl="6" w:tentative="1" w:tplc="0409000F">
      <w:start w:val="1"/>
      <w:numFmt w:val="decimal"/>
      <w:lvlText w:val="%7."/>
      <w:lvlJc w:val="left"/>
      <w:pPr>
        <w:ind w:hanging="360" w:left="4680"/>
      </w:pPr>
    </w:lvl>
    <w:lvl w:ilvl="7" w:tentative="1" w:tplc="04090019">
      <w:start w:val="1"/>
      <w:numFmt w:val="lowerLetter"/>
      <w:lvlText w:val="%8."/>
      <w:lvlJc w:val="left"/>
      <w:pPr>
        <w:ind w:hanging="360" w:left="5400"/>
      </w:pPr>
    </w:lvl>
    <w:lvl w:ilvl="8" w:tentative="1" w:tplc="0409001B">
      <w:start w:val="1"/>
      <w:numFmt w:val="lowerRoman"/>
      <w:lvlText w:val="%9."/>
      <w:lvlJc w:val="right"/>
      <w:pPr>
        <w:ind w:hanging="180" w:left="61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16cid:durableId="423961382" w:numId="1">
    <w:abstractNumId w:val="10"/>
  </w:num>
  <w:num w16cid:durableId="1687557963" w:numId="2">
    <w:abstractNumId w:val="9"/>
  </w:num>
  <w:num w16cid:durableId="1037200209" w:numId="3">
    <w:abstractNumId w:val="7"/>
  </w:num>
  <w:num w16cid:durableId="1834566650" w:numId="4">
    <w:abstractNumId w:val="6"/>
  </w:num>
  <w:num w16cid:durableId="1713074931" w:numId="5">
    <w:abstractNumId w:val="5"/>
  </w:num>
  <w:num w16cid:durableId="90976974" w:numId="6">
    <w:abstractNumId w:val="4"/>
  </w:num>
  <w:num w16cid:durableId="1378773811" w:numId="7">
    <w:abstractNumId w:val="8"/>
  </w:num>
  <w:num w16cid:durableId="2106684559" w:numId="8">
    <w:abstractNumId w:val="3"/>
  </w:num>
  <w:num w16cid:durableId="1702896435" w:numId="9">
    <w:abstractNumId w:val="2"/>
  </w:num>
  <w:num w16cid:durableId="1542131015" w:numId="10">
    <w:abstractNumId w:val="1"/>
  </w:num>
  <w:num w16cid:durableId="1202327122" w:numId="11">
    <w:abstractNumId w:val="0"/>
  </w:num>
  <w:num w16cid:durableId="1855149352" w:numId="12">
    <w:abstractNumId w:val="9"/>
  </w:num>
  <w:num w16cid:durableId="1364743380" w:numId="13">
    <w:abstractNumId w:val="7"/>
  </w:num>
  <w:num w16cid:durableId="20473214" w:numId="14">
    <w:abstractNumId w:val="6"/>
  </w:num>
  <w:num w16cid:durableId="1905485383" w:numId="15">
    <w:abstractNumId w:val="5"/>
  </w:num>
  <w:num w16cid:durableId="1657997273" w:numId="16">
    <w:abstractNumId w:val="4"/>
  </w:num>
  <w:num w16cid:durableId="1775712193" w:numId="17">
    <w:abstractNumId w:val="8"/>
  </w:num>
  <w:num w16cid:durableId="772827886" w:numId="18">
    <w:abstractNumId w:val="3"/>
  </w:num>
  <w:num w16cid:durableId="1912688915" w:numId="19">
    <w:abstractNumId w:val="2"/>
  </w:num>
  <w:num w16cid:durableId="1611625261" w:numId="20">
    <w:abstractNumId w:val="1"/>
  </w:num>
  <w:num w16cid:durableId="2107966237" w:numId="21">
    <w:abstractNumId w:val="0"/>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stylePaneSortMethod w:val="000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spidmax="2050" v:ext="edi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1F"/>
    <w:rsid w:val="00010E42"/>
    <w:rsid w:val="000262D9"/>
    <w:rsid w:val="00036EDA"/>
    <w:rsid w:val="00041AF0"/>
    <w:rsid w:val="00060379"/>
    <w:rsid w:val="00064E3B"/>
    <w:rsid w:val="00065938"/>
    <w:rsid w:val="00077AB1"/>
    <w:rsid w:val="00090864"/>
    <w:rsid w:val="000D23CF"/>
    <w:rsid w:val="000D5C95"/>
    <w:rsid w:val="00101C59"/>
    <w:rsid w:val="00102C76"/>
    <w:rsid w:val="00126683"/>
    <w:rsid w:val="0017682D"/>
    <w:rsid w:val="00184809"/>
    <w:rsid w:val="001A345B"/>
    <w:rsid w:val="001B0FEA"/>
    <w:rsid w:val="001E466D"/>
    <w:rsid w:val="001F1CB0"/>
    <w:rsid w:val="00216260"/>
    <w:rsid w:val="002239CF"/>
    <w:rsid w:val="00225010"/>
    <w:rsid w:val="00232B45"/>
    <w:rsid w:val="002432D4"/>
    <w:rsid w:val="00250BD5"/>
    <w:rsid w:val="00251EDB"/>
    <w:rsid w:val="0027048E"/>
    <w:rsid w:val="002723E0"/>
    <w:rsid w:val="0027518C"/>
    <w:rsid w:val="002A768D"/>
    <w:rsid w:val="002B1D3B"/>
    <w:rsid w:val="002B6632"/>
    <w:rsid w:val="002C3B74"/>
    <w:rsid w:val="002C5DF2"/>
    <w:rsid w:val="002E7A3C"/>
    <w:rsid w:val="0030567B"/>
    <w:rsid w:val="003141C0"/>
    <w:rsid w:val="003340D6"/>
    <w:rsid w:val="00340B9E"/>
    <w:rsid w:val="00387689"/>
    <w:rsid w:val="003B7C65"/>
    <w:rsid w:val="003D2E3A"/>
    <w:rsid w:val="003D73FF"/>
    <w:rsid w:val="004023D3"/>
    <w:rsid w:val="004544C0"/>
    <w:rsid w:val="00464B44"/>
    <w:rsid w:val="00467A7C"/>
    <w:rsid w:val="00496CB8"/>
    <w:rsid w:val="004D17CF"/>
    <w:rsid w:val="004D5CEB"/>
    <w:rsid w:val="004E2B8F"/>
    <w:rsid w:val="0051128C"/>
    <w:rsid w:val="005203E2"/>
    <w:rsid w:val="005528BA"/>
    <w:rsid w:val="005566BA"/>
    <w:rsid w:val="00565B1E"/>
    <w:rsid w:val="005665F3"/>
    <w:rsid w:val="00586C23"/>
    <w:rsid w:val="00602337"/>
    <w:rsid w:val="006122FA"/>
    <w:rsid w:val="00633291"/>
    <w:rsid w:val="00661B64"/>
    <w:rsid w:val="006A7CEE"/>
    <w:rsid w:val="006D3C7F"/>
    <w:rsid w:val="00717963"/>
    <w:rsid w:val="00772034"/>
    <w:rsid w:val="007868AB"/>
    <w:rsid w:val="007A1B2A"/>
    <w:rsid w:val="007C4E27"/>
    <w:rsid w:val="007E2A5D"/>
    <w:rsid w:val="00801C81"/>
    <w:rsid w:val="0083560B"/>
    <w:rsid w:val="00852D8C"/>
    <w:rsid w:val="0086288E"/>
    <w:rsid w:val="008F27BE"/>
    <w:rsid w:val="009057F5"/>
    <w:rsid w:val="00932B9C"/>
    <w:rsid w:val="009638C5"/>
    <w:rsid w:val="009B29FD"/>
    <w:rsid w:val="009B41AF"/>
    <w:rsid w:val="00A072AF"/>
    <w:rsid w:val="00A16B10"/>
    <w:rsid w:val="00A46245"/>
    <w:rsid w:val="00A82821"/>
    <w:rsid w:val="00A946AC"/>
    <w:rsid w:val="00AA1F29"/>
    <w:rsid w:val="00AC3115"/>
    <w:rsid w:val="00AC58E4"/>
    <w:rsid w:val="00AE4D7A"/>
    <w:rsid w:val="00AE5BBA"/>
    <w:rsid w:val="00AF36CA"/>
    <w:rsid w:val="00B02682"/>
    <w:rsid w:val="00B12CE3"/>
    <w:rsid w:val="00B21373"/>
    <w:rsid w:val="00B42EBE"/>
    <w:rsid w:val="00B617FB"/>
    <w:rsid w:val="00B830DE"/>
    <w:rsid w:val="00B83793"/>
    <w:rsid w:val="00B94715"/>
    <w:rsid w:val="00BB3FEC"/>
    <w:rsid w:val="00BB5C76"/>
    <w:rsid w:val="00BD022F"/>
    <w:rsid w:val="00C23682"/>
    <w:rsid w:val="00C304F7"/>
    <w:rsid w:val="00C4693A"/>
    <w:rsid w:val="00C84525"/>
    <w:rsid w:val="00CA071F"/>
    <w:rsid w:val="00CB7758"/>
    <w:rsid w:val="00CE01EB"/>
    <w:rsid w:val="00D11429"/>
    <w:rsid w:val="00D25C5B"/>
    <w:rsid w:val="00D630B7"/>
    <w:rsid w:val="00D807FA"/>
    <w:rsid w:val="00DA752F"/>
    <w:rsid w:val="00DB4D47"/>
    <w:rsid w:val="00DE772F"/>
    <w:rsid w:val="00E37D61"/>
    <w:rsid w:val="00E401D3"/>
    <w:rsid w:val="00E401FC"/>
    <w:rsid w:val="00E528E7"/>
    <w:rsid w:val="00E71E11"/>
    <w:rsid w:val="00E868AE"/>
    <w:rsid w:val="00E90878"/>
    <w:rsid w:val="00EA4191"/>
    <w:rsid w:val="00EA785F"/>
    <w:rsid w:val="00EA7B31"/>
    <w:rsid w:val="00F13DD4"/>
    <w:rsid w:val="00F3598F"/>
    <w:rsid w:val="00F57810"/>
    <w:rsid w:val="00F774FD"/>
    <w:rsid w:val="00F87745"/>
    <w:rsid w:val="00F92DA2"/>
    <w:rsid w:val="00FC515E"/>
  </w:rsids>
  <w:themeFontLang w:val="en-US"/>
  <w:clrSchemeMapping w:accent1="accent1" w:accent2="accent2" w:accent3="accent3" w:accent4="accent4" w:accent5="accent5" w:accent6="accent6" w:bg1="light1" w:bg2="light2" w:followedHyperlink="followedHyperlink" w:hyperlink="hyperlink" w:t1="dark1" w:t2="dark2"/>
  <w:doNotIncludeSubdocsInStats/>
  <w:shapeDefaults>
    <o:shapedefaults spidmax="2050" v:ext="edit"/>
    <o:shapelayout v:ext="edit">
      <o:idmap data="2"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83560B"/>
    <w:pPr>
      <w:spacing w:after="0" w:line="480" w:lineRule="auto"/>
    </w:pPr>
  </w:style>
  <w:style w:styleId="Heading1" w:type="paragraph">
    <w:name w:val="heading 1"/>
    <w:basedOn w:val="Normal"/>
    <w:next w:val="BodyText"/>
    <w:uiPriority w:val="9"/>
    <w:qFormat/>
    <w:rsid w:val="00901FB7"/>
    <w:pPr>
      <w:keepNext/>
      <w:keepLines/>
      <w:jc w:val="center"/>
      <w:outlineLvl w:val="0"/>
    </w:pPr>
    <w:rPr>
      <w:rFonts w:asciiTheme="majorHAnsi" w:cstheme="majorBidi" w:eastAsiaTheme="majorEastAsia" w:hAnsiTheme="majorHAnsi"/>
      <w:b/>
      <w:bCs/>
      <w:szCs w:val="32"/>
    </w:rPr>
  </w:style>
  <w:style w:styleId="Heading2" w:type="paragraph">
    <w:name w:val="heading 2"/>
    <w:basedOn w:val="Normal"/>
    <w:next w:val="BodyText"/>
    <w:uiPriority w:val="9"/>
    <w:unhideWhenUsed/>
    <w:qFormat/>
    <w:rsid w:val="00901FB7"/>
    <w:pPr>
      <w:keepNext/>
      <w:keepLines/>
      <w:outlineLvl w:val="1"/>
    </w:pPr>
    <w:rPr>
      <w:rFonts w:asciiTheme="majorHAnsi" w:cstheme="majorBidi" w:eastAsiaTheme="majorEastAsia" w:hAnsiTheme="majorHAnsi"/>
      <w:b/>
      <w:bCs/>
      <w:szCs w:val="28"/>
    </w:rPr>
  </w:style>
  <w:style w:styleId="Heading3" w:type="paragraph">
    <w:name w:val="heading 3"/>
    <w:basedOn w:val="Normal"/>
    <w:next w:val="BodyText"/>
    <w:uiPriority w:val="9"/>
    <w:unhideWhenUsed/>
    <w:qFormat/>
    <w:rsid w:val="00901FB7"/>
    <w:pPr>
      <w:keepNext/>
      <w:keepLines/>
      <w:outlineLvl w:val="2"/>
    </w:pPr>
    <w:rPr>
      <w:rFonts w:asciiTheme="majorHAnsi" w:cstheme="majorBidi" w:eastAsiaTheme="majorEastAsia" w:hAnsiTheme="majorHAnsi"/>
      <w:b/>
      <w:bCs/>
      <w:i/>
    </w:rPr>
  </w:style>
  <w:style w:styleId="Heading4" w:type="paragraph">
    <w:name w:val="heading 4"/>
    <w:basedOn w:val="Normal"/>
    <w:next w:val="BodyText"/>
    <w:uiPriority w:val="9"/>
    <w:unhideWhenUsed/>
    <w:qFormat/>
    <w:rsid w:val="008174AC"/>
    <w:pPr>
      <w:keepNext/>
      <w:keepLines/>
      <w:ind w:firstLine="720"/>
      <w:outlineLvl w:val="3"/>
    </w:pPr>
    <w:rPr>
      <w:rFonts w:asciiTheme="majorHAnsi" w:cstheme="majorBidi" w:eastAsiaTheme="majorEastAsia" w:hAnsiTheme="majorHAnsi"/>
      <w:b/>
      <w:bCs/>
    </w:rPr>
  </w:style>
  <w:style w:styleId="Heading5" w:type="paragraph">
    <w:name w:val="heading 5"/>
    <w:basedOn w:val="Normal"/>
    <w:next w:val="BodyText"/>
    <w:uiPriority w:val="9"/>
    <w:unhideWhenUsed/>
    <w:qFormat/>
    <w:rsid w:val="00BD022F"/>
    <w:pPr>
      <w:keepNext/>
      <w:keepLines/>
      <w:ind w:firstLine="720"/>
      <w:outlineLvl w:val="4"/>
    </w:pPr>
    <w:rPr>
      <w:rFonts w:asciiTheme="majorHAnsi" w:cstheme="majorBidi" w:eastAsiaTheme="majorEastAsia" w:hAnsiTheme="majorHAnsi"/>
      <w:b/>
      <w:i/>
      <w:iCs/>
    </w:rPr>
  </w:style>
  <w:style w:styleId="Heading6" w:type="paragraph">
    <w:name w:val="heading 6"/>
    <w:basedOn w:val="Normal"/>
    <w:next w:val="BodyText"/>
    <w:uiPriority w:val="9"/>
    <w:unhideWhenUsed/>
    <w:pPr>
      <w:keepNext/>
      <w:keepLines/>
      <w:spacing w:before="200"/>
      <w:outlineLvl w:val="5"/>
    </w:pPr>
    <w:rPr>
      <w:rFonts w:asciiTheme="majorHAnsi" w:cstheme="majorBidi" w:eastAsiaTheme="majorEastAsia" w:hAnsiTheme="majorHAnsi"/>
      <w:color w:themeColor="accent1" w:val="4472C4"/>
    </w:rPr>
  </w:style>
  <w:style w:styleId="Heading7" w:type="paragraph">
    <w:name w:val="heading 7"/>
    <w:basedOn w:val="Normal"/>
    <w:next w:val="BodyText"/>
    <w:uiPriority w:val="9"/>
    <w:unhideWhenUsed/>
    <w:pPr>
      <w:keepNext/>
      <w:keepLines/>
      <w:spacing w:before="200"/>
      <w:outlineLvl w:val="6"/>
    </w:pPr>
    <w:rPr>
      <w:rFonts w:asciiTheme="majorHAnsi" w:cstheme="majorBidi" w:eastAsiaTheme="majorEastAsia" w:hAnsiTheme="majorHAnsi"/>
      <w:color w:themeColor="accent1" w:val="4472C4"/>
    </w:rPr>
  </w:style>
  <w:style w:styleId="Heading8" w:type="paragraph">
    <w:name w:val="heading 8"/>
    <w:basedOn w:val="Normal"/>
    <w:next w:val="BodyText"/>
    <w:uiPriority w:val="9"/>
    <w:unhideWhenUsed/>
    <w:pPr>
      <w:keepNext/>
      <w:keepLines/>
      <w:spacing w:before="200"/>
      <w:outlineLvl w:val="7"/>
    </w:pPr>
    <w:rPr>
      <w:rFonts w:asciiTheme="majorHAnsi" w:cstheme="majorBidi" w:eastAsiaTheme="majorEastAsia" w:hAnsiTheme="majorHAnsi"/>
      <w:color w:themeColor="accent1" w:val="4472C4"/>
    </w:rPr>
  </w:style>
  <w:style w:styleId="Heading9" w:type="paragraph">
    <w:name w:val="heading 9"/>
    <w:basedOn w:val="Normal"/>
    <w:next w:val="BodyText"/>
    <w:uiPriority w:val="9"/>
    <w:unhideWhenUsed/>
    <w:pPr>
      <w:keepNext/>
      <w:keepLines/>
      <w:spacing w:before="200"/>
      <w:outlineLvl w:val="8"/>
    </w:pPr>
    <w:rPr>
      <w:rFonts w:asciiTheme="majorHAnsi" w:cstheme="majorBidi" w:eastAsiaTheme="majorEastAsia" w:hAnsiTheme="majorHAnsi"/>
      <w:color w:themeColor="accent1" w:val="4472C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qFormat/>
    <w:rsid w:val="0083560B"/>
    <w:pPr>
      <w:ind w:firstLine="720"/>
    </w:pPr>
  </w:style>
  <w:style w:customStyle="1" w:styleId="FirstParagraph" w:type="paragraph">
    <w:name w:val="First Paragraph"/>
    <w:basedOn w:val="BodyText"/>
    <w:next w:val="BodyText"/>
    <w:qFormat/>
    <w:rsid w:val="008174AC"/>
  </w:style>
  <w:style w:customStyle="1" w:styleId="Compact" w:type="paragraph">
    <w:name w:val="Compact"/>
    <w:basedOn w:val="BodyText"/>
    <w:qFormat/>
    <w:rsid w:val="00387689"/>
    <w:pPr>
      <w:spacing w:line="240" w:lineRule="auto"/>
      <w:ind w:firstLine="0"/>
    </w:pPr>
  </w:style>
  <w:style w:styleId="Title" w:type="paragraph">
    <w:name w:val="Title"/>
    <w:basedOn w:val="Normal"/>
    <w:next w:val="BodyText"/>
    <w:link w:val="TitleChar"/>
    <w:qFormat/>
    <w:rsid w:val="00E401FC"/>
    <w:pPr>
      <w:jc w:val="center"/>
      <w:outlineLvl w:val="0"/>
    </w:pPr>
    <w:rPr>
      <w:b/>
      <w:bCs/>
    </w:rPr>
  </w:style>
  <w:style w:styleId="Subtitle" w:type="paragraph">
    <w:name w:val="Subtitle"/>
    <w:basedOn w:val="Title"/>
    <w:next w:val="BodyText"/>
    <w:qFormat/>
    <w:rsid w:val="00E401FC"/>
    <w:pPr>
      <w:outlineLvl w:val="1"/>
    </w:pPr>
    <w:rPr>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link w:val="AbstractChar"/>
    <w:qFormat/>
    <w:rsid w:val="005528BA"/>
    <w:pPr>
      <w:ind w:firstLine="720"/>
    </w:pPr>
    <w:rPr>
      <w:szCs w:val="20"/>
    </w:rPr>
  </w:style>
  <w:style w:styleId="Bibliography" w:type="paragraph">
    <w:name w:val="Bibliography"/>
    <w:basedOn w:val="Normal"/>
    <w:qFormat/>
    <w:rsid w:val="00CB7758"/>
    <w:pPr>
      <w:ind w:hanging="720" w:left="720"/>
    </w:pPr>
  </w:style>
  <w:style w:styleId="BlockText" w:type="paragraph">
    <w:name w:val="Block Text"/>
    <w:basedOn w:val="BodyText"/>
    <w:next w:val="BodyText"/>
    <w:link w:val="BlockTextChar"/>
    <w:uiPriority w:val="9"/>
    <w:unhideWhenUsed/>
    <w:qFormat/>
    <w:rsid w:val="0017682D"/>
    <w:pPr>
      <w:ind w:firstLine="0" w:left="720" w:right="720"/>
    </w:pPr>
  </w:style>
  <w:style w:styleId="FootnoteText" w:type="paragraph">
    <w:name w:val="footnote text"/>
    <w:basedOn w:val="Normal"/>
    <w:uiPriority w:val="9"/>
    <w:unhideWhenUsed/>
    <w:qFormat/>
  </w:style>
  <w:style w:customStyle="1" w:styleId="Table" w:type="table">
    <w:name w:val="Table"/>
    <w:semiHidden/>
    <w:unhideWhenUsed/>
    <w:qFormat/>
    <w:rsid w:val="00387689"/>
    <w:pPr>
      <w:spacing w:after="60" w:before="60"/>
    </w:pPr>
    <w:tblPr>
      <w:tblInd w:type="dxa" w:w="0"/>
      <w:tblBorders>
        <w:bottom w:color="auto" w:space="0" w:sz="4" w:val="single"/>
      </w:tblBorders>
      <w:tblCellMar>
        <w:top w:type="dxa" w:w="58"/>
        <w:left w:type="dxa" w:w="58"/>
        <w:bottom w:type="dxa" w:w="58"/>
        <w:right w:type="dxa" w:w="58"/>
      </w:tblCellMar>
    </w:tblPr>
    <w:tcPr>
      <w:vAlign w:val="center"/>
    </w:tcPr>
    <w:tblStylePr w:type="firstRow">
      <w:tblPr/>
      <w:tcPr>
        <w:tcBorders>
          <w:top w:color="auto" w:space="0" w:sz="4" w:val="single"/>
          <w:left w:val="nil"/>
          <w:bottom w:color="auto" w:space="0" w:sz="4" w:val="single"/>
          <w:right w:val="nil"/>
          <w:insideH w:val="nil"/>
          <w:insideV w:val="nil"/>
          <w:tl2br w:val="nil"/>
          <w:tr2bl w:val="nil"/>
        </w:tcBorders>
      </w:tcPr>
    </w:tblStylePr>
  </w:style>
  <w:style w:customStyle="1" w:styleId="DefinitionTerm" w:type="paragraph">
    <w:name w:val="Definition Term"/>
    <w:basedOn w:val="Normal"/>
    <w:next w:val="Definition"/>
    <w:pPr>
      <w:keepNext/>
      <w:keepLines/>
    </w:pPr>
    <w:rPr>
      <w:b/>
    </w:rPr>
  </w:style>
  <w:style w:customStyle="1" w:styleId="Definition" w:type="paragraph">
    <w:name w:val="Definition"/>
    <w:basedOn w:val="Normal"/>
  </w:style>
  <w:style w:styleId="Caption" w:type="paragraph">
    <w:name w:val="caption"/>
    <w:basedOn w:val="Normal"/>
    <w:link w:val="CaptionChar"/>
    <w:rsid w:val="003B7C65"/>
    <w:pPr>
      <w:keepNext/>
      <w:keepLines/>
      <w:spacing w:after="120"/>
    </w:pPr>
    <w:rPr>
      <w:i/>
    </w:rPr>
  </w:style>
  <w:style w:customStyle="1" w:styleId="TableCaption" w:type="paragraph">
    <w:name w:val="Table Caption"/>
    <w:basedOn w:val="Caption"/>
  </w:style>
  <w:style w:customStyle="1" w:styleId="ImageCaption" w:type="paragraph">
    <w:name w:val="Image Caption"/>
    <w:basedOn w:val="Caption"/>
  </w:style>
  <w:style w:customStyle="1" w:styleId="Figure" w:type="paragraph">
    <w:name w:val="Figure"/>
    <w:basedOn w:val="Normal"/>
    <w:link w:val="FigureChar"/>
    <w:rsid w:val="00D630B7"/>
    <w:pPr>
      <w:spacing w:line="240" w:lineRule="auto"/>
    </w:pPr>
  </w:style>
  <w:style w:customStyle="1" w:styleId="CaptionedFigure" w:type="paragraph">
    <w:name w:val="Captioned Figure"/>
    <w:basedOn w:val="Figure"/>
    <w:rsid w:val="00AE5BBA"/>
  </w:style>
  <w:style w:customStyle="1" w:styleId="CaptionChar" w:type="character">
    <w:name w:val="Caption Char"/>
    <w:basedOn w:val="DefaultParagraphFont"/>
    <w:link w:val="Caption"/>
    <w:rsid w:val="003B7C65"/>
    <w:rPr>
      <w:i/>
    </w:rPr>
  </w:style>
  <w:style w:customStyle="1" w:styleId="VerbatimChar" w:type="character">
    <w:name w:val="Verbatim Char"/>
    <w:basedOn w:val="CaptionChar"/>
    <w:link w:val="SourceCode"/>
    <w:rsid w:val="00036EDA"/>
    <w:rPr>
      <w:i w:val="0"/>
      <w:shd w:color="auto" w:fill="F1F3F5" w:val="clear"/>
    </w:rPr>
  </w:style>
  <w:style w:customStyle="1" w:styleId="SectionNumber" w:type="character">
    <w:name w:val="Section Number"/>
    <w:basedOn w:val="CaptionChar"/>
    <w:rPr>
      <w:i/>
    </w:rPr>
  </w:style>
  <w:style w:styleId="FootnoteReference" w:type="character">
    <w:name w:val="footnote reference"/>
    <w:basedOn w:val="CaptionChar"/>
    <w:rPr>
      <w:i/>
      <w:vertAlign w:val="superscript"/>
    </w:rPr>
  </w:style>
  <w:style w:styleId="Hyperlink" w:type="character">
    <w:name w:val="Hyperlink"/>
    <w:basedOn w:val="CaptionChar"/>
    <w:rsid w:val="00250BD5"/>
    <w:rPr>
      <w:i w:val="0"/>
      <w:color w:themeColor="accent1" w:val="4472C4"/>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2F5496"/>
    </w:rPr>
  </w:style>
  <w:style w:customStyle="1" w:styleId="BodyTextChar" w:type="character">
    <w:name w:val="Body Text Char"/>
    <w:basedOn w:val="DefaultParagraphFont"/>
    <w:link w:val="BodyText"/>
    <w:rsid w:val="0083560B"/>
  </w:style>
  <w:style w:customStyle="1" w:styleId="red" w:type="paragraph">
    <w:name w:val="red"/>
    <w:basedOn w:val="BodyText"/>
    <w:link w:val="redChar"/>
    <w:qFormat/>
    <w:rsid w:val="00385D19"/>
    <w:rPr>
      <w:color w:val="FF0000"/>
    </w:rPr>
  </w:style>
  <w:style w:customStyle="1" w:styleId="redChar" w:type="character">
    <w:name w:val="red Char"/>
    <w:basedOn w:val="BodyTextChar"/>
    <w:link w:val="red"/>
    <w:rsid w:val="00385D19"/>
    <w:rPr>
      <w:color w:val="FF0000"/>
    </w:rPr>
  </w:style>
  <w:style w:customStyle="1" w:styleId="SourceCode" w:type="paragraph">
    <w:name w:val="Source Code"/>
    <w:basedOn w:val="Normal"/>
    <w:link w:val="VerbatimChar"/>
    <w:rsid w:val="00036EDA"/>
    <w:pPr>
      <w:shd w:color="auto" w:fill="F1F3F5" w:val="clear"/>
      <w:wordWrap w:val="0"/>
      <w:spacing w:after="240" w:line="240" w:lineRule="auto"/>
      <w:contextualSpacing/>
    </w:pPr>
  </w:style>
  <w:style w:customStyle="1" w:styleId="KeywordTok" w:type="character">
    <w:name w:val="KeywordTok"/>
    <w:basedOn w:val="VerbatimChar"/>
    <w:rPr>
      <w:rFonts w:ascii="Consolas" w:hAnsi="Consolas"/>
      <w:i w:val="0"/>
      <w:color w:val="003B4F"/>
      <w:sz w:val="22"/>
      <w:shd w:color="auto" w:fill="F1F3F5" w:val="clear"/>
    </w:rPr>
  </w:style>
  <w:style w:customStyle="1" w:styleId="DataTypeTok" w:type="character">
    <w:name w:val="DataTypeTok"/>
    <w:basedOn w:val="VerbatimChar"/>
    <w:rPr>
      <w:rFonts w:ascii="Consolas" w:hAnsi="Consolas"/>
      <w:i w:val="0"/>
      <w:color w:val="AD0000"/>
      <w:sz w:val="22"/>
      <w:shd w:color="auto" w:fill="F1F3F5" w:val="clear"/>
    </w:rPr>
  </w:style>
  <w:style w:customStyle="1" w:styleId="DecValTok" w:type="character">
    <w:name w:val="DecValTok"/>
    <w:basedOn w:val="VerbatimChar"/>
    <w:rPr>
      <w:rFonts w:ascii="Consolas" w:hAnsi="Consolas"/>
      <w:i w:val="0"/>
      <w:color w:val="AD0000"/>
      <w:sz w:val="22"/>
      <w:shd w:color="auto" w:fill="F1F3F5" w:val="clear"/>
    </w:rPr>
  </w:style>
  <w:style w:customStyle="1" w:styleId="BaseNTok" w:type="character">
    <w:name w:val="BaseNTok"/>
    <w:basedOn w:val="VerbatimChar"/>
    <w:rPr>
      <w:rFonts w:ascii="Consolas" w:hAnsi="Consolas"/>
      <w:i w:val="0"/>
      <w:color w:val="AD0000"/>
      <w:sz w:val="22"/>
      <w:shd w:color="auto" w:fill="F1F3F5" w:val="clear"/>
    </w:rPr>
  </w:style>
  <w:style w:customStyle="1" w:styleId="FloatTok" w:type="character">
    <w:name w:val="FloatTok"/>
    <w:basedOn w:val="VerbatimChar"/>
    <w:rPr>
      <w:rFonts w:ascii="Consolas" w:hAnsi="Consolas"/>
      <w:i w:val="0"/>
      <w:color w:val="AD0000"/>
      <w:sz w:val="22"/>
      <w:shd w:color="auto" w:fill="F1F3F5" w:val="clear"/>
    </w:rPr>
  </w:style>
  <w:style w:customStyle="1" w:styleId="ConstantTok" w:type="character">
    <w:name w:val="ConstantTok"/>
    <w:basedOn w:val="VerbatimChar"/>
    <w:rPr>
      <w:rFonts w:ascii="Consolas" w:hAnsi="Consolas"/>
      <w:i w:val="0"/>
      <w:color w:val="8F5902"/>
      <w:sz w:val="22"/>
      <w:shd w:color="auto" w:fill="F1F3F5" w:val="clear"/>
    </w:rPr>
  </w:style>
  <w:style w:customStyle="1" w:styleId="CharTok" w:type="character">
    <w:name w:val="CharTok"/>
    <w:basedOn w:val="VerbatimChar"/>
    <w:rPr>
      <w:rFonts w:ascii="Consolas" w:hAnsi="Consolas"/>
      <w:i w:val="0"/>
      <w:color w:val="20794D"/>
      <w:sz w:val="22"/>
      <w:shd w:color="auto" w:fill="F1F3F5" w:val="clear"/>
    </w:rPr>
  </w:style>
  <w:style w:customStyle="1" w:styleId="SpecialCharTok" w:type="character">
    <w:name w:val="SpecialCharTok"/>
    <w:basedOn w:val="VerbatimChar"/>
    <w:rPr>
      <w:rFonts w:ascii="Consolas" w:hAnsi="Consolas"/>
      <w:i w:val="0"/>
      <w:color w:val="5E5E5E"/>
      <w:sz w:val="22"/>
      <w:shd w:color="auto" w:fill="F1F3F5" w:val="clear"/>
    </w:rPr>
  </w:style>
  <w:style w:customStyle="1" w:styleId="StringTok" w:type="character">
    <w:name w:val="StringTok"/>
    <w:basedOn w:val="VerbatimChar"/>
    <w:rPr>
      <w:rFonts w:ascii="Consolas" w:hAnsi="Consolas"/>
      <w:i w:val="0"/>
      <w:color w:val="20794D"/>
      <w:sz w:val="22"/>
      <w:shd w:color="auto" w:fill="F1F3F5" w:val="clear"/>
    </w:rPr>
  </w:style>
  <w:style w:customStyle="1" w:styleId="VerbatimStringTok" w:type="character">
    <w:name w:val="VerbatimStringTok"/>
    <w:basedOn w:val="VerbatimChar"/>
    <w:rPr>
      <w:rFonts w:ascii="Consolas" w:hAnsi="Consolas"/>
      <w:i w:val="0"/>
      <w:color w:val="20794D"/>
      <w:sz w:val="22"/>
      <w:shd w:color="auto" w:fill="F1F3F5" w:val="clear"/>
    </w:rPr>
  </w:style>
  <w:style w:customStyle="1" w:styleId="SpecialStringTok" w:type="character">
    <w:name w:val="SpecialStringTok"/>
    <w:basedOn w:val="VerbatimChar"/>
    <w:rPr>
      <w:rFonts w:ascii="Consolas" w:hAnsi="Consolas"/>
      <w:i w:val="0"/>
      <w:color w:val="20794D"/>
      <w:sz w:val="22"/>
      <w:shd w:color="auto" w:fill="F1F3F5" w:val="clear"/>
    </w:rPr>
  </w:style>
  <w:style w:customStyle="1" w:styleId="ImportTok" w:type="character">
    <w:name w:val="ImportTok"/>
    <w:basedOn w:val="VerbatimChar"/>
    <w:rPr>
      <w:rFonts w:ascii="Consolas" w:hAnsi="Consolas"/>
      <w:i w:val="0"/>
      <w:color w:val="00769E"/>
      <w:sz w:val="22"/>
      <w:shd w:color="auto" w:fill="F1F3F5" w:val="clear"/>
    </w:rPr>
  </w:style>
  <w:style w:customStyle="1" w:styleId="CommentTok" w:type="character">
    <w:name w:val="CommentTok"/>
    <w:basedOn w:val="VerbatimChar"/>
    <w:rPr>
      <w:rFonts w:ascii="Consolas" w:hAnsi="Consolas"/>
      <w:i w:val="0"/>
      <w:color w:val="5E5E5E"/>
      <w:sz w:val="22"/>
      <w:shd w:color="auto" w:fill="F1F3F5" w:val="clear"/>
    </w:rPr>
  </w:style>
  <w:style w:customStyle="1" w:styleId="DocumentationTok" w:type="character">
    <w:name w:val="DocumentationTok"/>
    <w:basedOn w:val="VerbatimChar"/>
    <w:rPr>
      <w:rFonts w:ascii="Consolas" w:hAnsi="Consolas"/>
      <w:i/>
      <w:color w:val="5E5E5E"/>
      <w:sz w:val="22"/>
      <w:shd w:color="auto" w:fill="F1F3F5" w:val="clear"/>
    </w:rPr>
  </w:style>
  <w:style w:customStyle="1" w:styleId="AnnotationTok" w:type="character">
    <w:name w:val="AnnotationTok"/>
    <w:basedOn w:val="VerbatimChar"/>
    <w:rPr>
      <w:rFonts w:ascii="Consolas" w:hAnsi="Consolas"/>
      <w:i w:val="0"/>
      <w:color w:val="5E5E5E"/>
      <w:sz w:val="22"/>
      <w:shd w:color="auto" w:fill="F1F3F5" w:val="clear"/>
    </w:rPr>
  </w:style>
  <w:style w:customStyle="1" w:styleId="CommentVarTok" w:type="character">
    <w:name w:val="CommentVarTok"/>
    <w:basedOn w:val="VerbatimChar"/>
    <w:rPr>
      <w:rFonts w:ascii="Consolas" w:hAnsi="Consolas"/>
      <w:i/>
      <w:color w:val="5E5E5E"/>
      <w:sz w:val="22"/>
      <w:shd w:color="auto" w:fill="F1F3F5" w:val="clear"/>
    </w:rPr>
  </w:style>
  <w:style w:customStyle="1" w:styleId="OtherTok" w:type="character">
    <w:name w:val="OtherTok"/>
    <w:basedOn w:val="VerbatimChar"/>
    <w:rPr>
      <w:rFonts w:ascii="Consolas" w:hAnsi="Consolas"/>
      <w:i w:val="0"/>
      <w:color w:val="003B4F"/>
      <w:sz w:val="22"/>
      <w:shd w:color="auto" w:fill="F1F3F5" w:val="clear"/>
    </w:rPr>
  </w:style>
  <w:style w:customStyle="1" w:styleId="FunctionTok" w:type="character">
    <w:name w:val="FunctionTok"/>
    <w:basedOn w:val="VerbatimChar"/>
    <w:rPr>
      <w:rFonts w:ascii="Consolas" w:hAnsi="Consolas"/>
      <w:i w:val="0"/>
      <w:color w:val="4758AB"/>
      <w:sz w:val="22"/>
      <w:shd w:color="auto" w:fill="F1F3F5" w:val="clear"/>
    </w:rPr>
  </w:style>
  <w:style w:customStyle="1" w:styleId="VariableTok" w:type="character">
    <w:name w:val="VariableTok"/>
    <w:basedOn w:val="VerbatimChar"/>
    <w:rPr>
      <w:rFonts w:ascii="Consolas" w:hAnsi="Consolas"/>
      <w:i w:val="0"/>
      <w:color w:val="111111"/>
      <w:sz w:val="22"/>
      <w:shd w:color="auto" w:fill="F1F3F5" w:val="clear"/>
    </w:rPr>
  </w:style>
  <w:style w:customStyle="1" w:styleId="ControlFlowTok" w:type="character">
    <w:name w:val="ControlFlowTok"/>
    <w:basedOn w:val="VerbatimChar"/>
    <w:rPr>
      <w:rFonts w:ascii="Consolas" w:hAnsi="Consolas"/>
      <w:i w:val="0"/>
      <w:color w:val="003B4F"/>
      <w:sz w:val="22"/>
      <w:shd w:color="auto" w:fill="F1F3F5" w:val="clear"/>
    </w:rPr>
  </w:style>
  <w:style w:customStyle="1" w:styleId="OperatorTok" w:type="character">
    <w:name w:val="OperatorTok"/>
    <w:basedOn w:val="VerbatimChar"/>
    <w:rPr>
      <w:rFonts w:ascii="Consolas" w:hAnsi="Consolas"/>
      <w:i w:val="0"/>
      <w:color w:val="5E5E5E"/>
      <w:sz w:val="22"/>
      <w:shd w:color="auto" w:fill="F1F3F5" w:val="clear"/>
    </w:rPr>
  </w:style>
  <w:style w:customStyle="1" w:styleId="BuiltInTok" w:type="character">
    <w:name w:val="BuiltInTok"/>
    <w:basedOn w:val="VerbatimChar"/>
    <w:rPr>
      <w:rFonts w:ascii="Consolas" w:hAnsi="Consolas"/>
      <w:i w:val="0"/>
      <w:color w:val="003B4F"/>
      <w:sz w:val="22"/>
      <w:shd w:color="auto" w:fill="F1F3F5" w:val="clear"/>
    </w:rPr>
  </w:style>
  <w:style w:customStyle="1" w:styleId="ExtensionTok" w:type="character">
    <w:name w:val="ExtensionTok"/>
    <w:basedOn w:val="VerbatimChar"/>
    <w:rPr>
      <w:rFonts w:ascii="Consolas" w:hAnsi="Consolas"/>
      <w:i w:val="0"/>
      <w:color w:val="003B4F"/>
      <w:sz w:val="22"/>
      <w:shd w:color="auto" w:fill="F1F3F5" w:val="clear"/>
    </w:rPr>
  </w:style>
  <w:style w:customStyle="1" w:styleId="PreprocessorTok" w:type="character">
    <w:name w:val="PreprocessorTok"/>
    <w:basedOn w:val="VerbatimChar"/>
    <w:rPr>
      <w:rFonts w:ascii="Consolas" w:hAnsi="Consolas"/>
      <w:i w:val="0"/>
      <w:color w:val="AD0000"/>
      <w:sz w:val="22"/>
      <w:shd w:color="auto" w:fill="F1F3F5" w:val="clear"/>
    </w:rPr>
  </w:style>
  <w:style w:customStyle="1" w:styleId="AttributeTok" w:type="character">
    <w:name w:val="AttributeTok"/>
    <w:basedOn w:val="VerbatimChar"/>
    <w:rPr>
      <w:rFonts w:ascii="Consolas" w:hAnsi="Consolas"/>
      <w:i w:val="0"/>
      <w:color w:val="657422"/>
      <w:sz w:val="22"/>
      <w:shd w:color="auto" w:fill="F1F3F5" w:val="clear"/>
    </w:rPr>
  </w:style>
  <w:style w:customStyle="1" w:styleId="RegionMarkerTok" w:type="character">
    <w:name w:val="RegionMarkerTok"/>
    <w:basedOn w:val="VerbatimChar"/>
    <w:rPr>
      <w:rFonts w:ascii="Consolas" w:hAnsi="Consolas"/>
      <w:i w:val="0"/>
      <w:color w:val="003B4F"/>
      <w:sz w:val="22"/>
      <w:shd w:color="auto" w:fill="F1F3F5" w:val="clear"/>
    </w:rPr>
  </w:style>
  <w:style w:customStyle="1" w:styleId="InformationTok" w:type="character">
    <w:name w:val="InformationTok"/>
    <w:basedOn w:val="VerbatimChar"/>
    <w:rPr>
      <w:rFonts w:ascii="Consolas" w:hAnsi="Consolas"/>
      <w:i w:val="0"/>
      <w:color w:val="5E5E5E"/>
      <w:sz w:val="22"/>
      <w:shd w:color="auto" w:fill="F1F3F5" w:val="clear"/>
    </w:rPr>
  </w:style>
  <w:style w:customStyle="1" w:styleId="WarningTok" w:type="character">
    <w:name w:val="WarningTok"/>
    <w:basedOn w:val="VerbatimChar"/>
    <w:rPr>
      <w:rFonts w:ascii="Consolas" w:hAnsi="Consolas"/>
      <w:i/>
      <w:color w:val="5E5E5E"/>
      <w:sz w:val="22"/>
      <w:shd w:color="auto" w:fill="F1F3F5" w:val="clear"/>
    </w:rPr>
  </w:style>
  <w:style w:customStyle="1" w:styleId="AlertTok" w:type="character">
    <w:name w:val="AlertTok"/>
    <w:basedOn w:val="VerbatimChar"/>
    <w:rPr>
      <w:rFonts w:ascii="Consolas" w:hAnsi="Consolas"/>
      <w:i w:val="0"/>
      <w:color w:val="AD0000"/>
      <w:sz w:val="22"/>
      <w:shd w:color="auto" w:fill="F1F3F5" w:val="clear"/>
    </w:rPr>
  </w:style>
  <w:style w:customStyle="1" w:styleId="ErrorTok" w:type="character">
    <w:name w:val="ErrorTok"/>
    <w:basedOn w:val="VerbatimChar"/>
    <w:rPr>
      <w:rFonts w:ascii="Consolas" w:hAnsi="Consolas"/>
      <w:i w:val="0"/>
      <w:color w:val="AD0000"/>
      <w:sz w:val="22"/>
      <w:shd w:color="auto" w:fill="F1F3F5" w:val="clear"/>
    </w:rPr>
  </w:style>
  <w:style w:customStyle="1" w:styleId="NormalTok" w:type="character">
    <w:name w:val="NormalTok"/>
    <w:basedOn w:val="VerbatimChar"/>
    <w:rPr>
      <w:rFonts w:ascii="Consolas" w:hAnsi="Consolas"/>
      <w:i w:val="0"/>
      <w:color w:val="003B4F"/>
      <w:sz w:val="22"/>
      <w:shd w:color="auto" w:fill="F1F3F5" w:val="clear"/>
    </w:rPr>
  </w:style>
  <w:style w:styleId="Header" w:type="paragraph">
    <w:name w:val="header"/>
    <w:basedOn w:val="Normal"/>
    <w:link w:val="HeaderChar"/>
    <w:uiPriority w:val="99"/>
    <w:unhideWhenUsed/>
    <w:rsid w:val="00340B9E"/>
    <w:pPr>
      <w:tabs>
        <w:tab w:pos="4680" w:val="center"/>
        <w:tab w:pos="9360" w:val="right"/>
      </w:tabs>
    </w:pPr>
  </w:style>
  <w:style w:customStyle="1" w:styleId="HeaderChar" w:type="character">
    <w:name w:val="Header Char"/>
    <w:basedOn w:val="DefaultParagraphFont"/>
    <w:link w:val="Header"/>
    <w:uiPriority w:val="99"/>
    <w:rsid w:val="00340B9E"/>
  </w:style>
  <w:style w:styleId="Footer" w:type="paragraph">
    <w:name w:val="footer"/>
    <w:basedOn w:val="Normal"/>
    <w:link w:val="FooterChar"/>
    <w:unhideWhenUsed/>
    <w:rsid w:val="00340B9E"/>
    <w:pPr>
      <w:tabs>
        <w:tab w:pos="4680" w:val="center"/>
        <w:tab w:pos="9360" w:val="right"/>
      </w:tabs>
    </w:pPr>
  </w:style>
  <w:style w:customStyle="1" w:styleId="FooterChar" w:type="character">
    <w:name w:val="Footer Char"/>
    <w:basedOn w:val="DefaultParagraphFont"/>
    <w:link w:val="Footer"/>
    <w:rsid w:val="00340B9E"/>
  </w:style>
  <w:style w:customStyle="1" w:styleId="APAEnumerated" w:type="paragraph">
    <w:name w:val="APAEnumerated"/>
    <w:basedOn w:val="BodyText"/>
    <w:link w:val="APAEnumeratedChar"/>
    <w:qFormat/>
    <w:rsid w:val="00717963"/>
    <w:pPr>
      <w:numPr>
        <w:numId w:val="1"/>
      </w:numPr>
      <w:ind w:left="792"/>
    </w:pPr>
  </w:style>
  <w:style w:customStyle="1" w:styleId="TitleChar" w:type="character">
    <w:name w:val="Title Char"/>
    <w:basedOn w:val="DefaultParagraphFont"/>
    <w:link w:val="Title"/>
    <w:rsid w:val="00010E42"/>
    <w:rPr>
      <w:b/>
      <w:bCs/>
    </w:rPr>
  </w:style>
  <w:style w:customStyle="1" w:styleId="FigureTitle" w:type="paragraph">
    <w:name w:val="FigureTitle"/>
    <w:basedOn w:val="Figure"/>
    <w:link w:val="FigureTitleChar"/>
    <w:qFormat/>
    <w:rsid w:val="00064E3B"/>
    <w:pPr>
      <w:keepNext/>
      <w:keepLines/>
      <w:spacing w:line="480" w:lineRule="auto"/>
      <w:outlineLvl w:val="0"/>
    </w:pPr>
    <w:rPr>
      <w:b/>
    </w:rPr>
  </w:style>
  <w:style w:customStyle="1" w:styleId="FigureChar" w:type="character">
    <w:name w:val="Figure Char"/>
    <w:basedOn w:val="DefaultParagraphFont"/>
    <w:link w:val="Figure"/>
    <w:rsid w:val="00D630B7"/>
  </w:style>
  <w:style w:customStyle="1" w:styleId="FigureTitleChar" w:type="character">
    <w:name w:val="FigureTitle Char"/>
    <w:basedOn w:val="FigureChar"/>
    <w:link w:val="FigureTitle"/>
    <w:rsid w:val="00064E3B"/>
    <w:rPr>
      <w:b/>
    </w:rPr>
  </w:style>
  <w:style w:customStyle="1" w:styleId="FigureNote" w:type="paragraph">
    <w:name w:val="FigureNote"/>
    <w:basedOn w:val="BodyText"/>
    <w:link w:val="FigureNoteChar"/>
    <w:qFormat/>
    <w:rsid w:val="00A946AC"/>
    <w:pPr>
      <w:spacing w:before="60"/>
      <w:ind w:firstLine="0"/>
    </w:pPr>
  </w:style>
  <w:style w:customStyle="1" w:styleId="FigureNoteChar" w:type="character">
    <w:name w:val="FigureNote Char"/>
    <w:basedOn w:val="BodyTextChar"/>
    <w:link w:val="FigureNote"/>
    <w:rsid w:val="00A946AC"/>
  </w:style>
  <w:style w:customStyle="1" w:styleId="APAEnumeratedChar" w:type="character">
    <w:name w:val="APAEnumerated Char"/>
    <w:basedOn w:val="BodyTextChar"/>
    <w:link w:val="APAEnumerated"/>
    <w:rsid w:val="00717963"/>
  </w:style>
  <w:style w:customStyle="1" w:styleId="FigureWithNote" w:type="paragraph">
    <w:name w:val="FigureWithNote"/>
    <w:basedOn w:val="Figure"/>
    <w:link w:val="FigureWithNoteChar"/>
    <w:qFormat/>
    <w:rsid w:val="00B42EBE"/>
    <w:pPr>
      <w:keepNext/>
    </w:pPr>
  </w:style>
  <w:style w:customStyle="1" w:styleId="FigureWithNoteChar" w:type="character">
    <w:name w:val="FigureWithNote Char"/>
    <w:basedOn w:val="FigureChar"/>
    <w:link w:val="FigureWithNote"/>
    <w:rsid w:val="00B42EBE"/>
  </w:style>
  <w:style w:customStyle="1" w:styleId="FigureWithoutNote" w:type="paragraph">
    <w:name w:val="FigureWithoutNote"/>
    <w:basedOn w:val="Figure"/>
    <w:link w:val="FigureWithoutNoteChar"/>
    <w:qFormat/>
    <w:rsid w:val="00C304F7"/>
    <w:pPr>
      <w:spacing w:after="240"/>
    </w:pPr>
  </w:style>
  <w:style w:customStyle="1" w:styleId="FigureWithoutNoteChar" w:type="character">
    <w:name w:val="FigureWithoutNote Char"/>
    <w:basedOn w:val="FigureChar"/>
    <w:link w:val="FigureWithoutNote"/>
    <w:rsid w:val="00C304F7"/>
  </w:style>
  <w:style w:customStyle="1" w:styleId="AuthorNote" w:type="paragraph">
    <w:name w:val="AuthorNote"/>
    <w:basedOn w:val="Author"/>
    <w:qFormat/>
    <w:rsid w:val="00C84525"/>
    <w:pPr>
      <w:keepNext w:val="0"/>
      <w:keepLines w:val="0"/>
      <w:spacing w:after="0" w:line="480" w:lineRule="auto"/>
      <w:ind w:firstLine="720"/>
      <w:jc w:val="left"/>
    </w:pPr>
  </w:style>
  <w:style w:customStyle="1" w:styleId="AfterWithoutNote" w:type="paragraph">
    <w:name w:val="AfterWithoutNote"/>
    <w:basedOn w:val="BodyText"/>
    <w:link w:val="AfterWithoutNoteChar"/>
    <w:qFormat/>
    <w:rsid w:val="00BB3FEC"/>
    <w:pPr>
      <w:spacing w:before="240"/>
    </w:pPr>
  </w:style>
  <w:style w:customStyle="1" w:styleId="AfterWithoutNoteChar" w:type="character">
    <w:name w:val="AfterWithoutNote Char"/>
    <w:basedOn w:val="BodyTextChar"/>
    <w:link w:val="AfterWithoutNote"/>
    <w:rsid w:val="00BB3FEC"/>
  </w:style>
  <w:style w:customStyle="1" w:styleId="NoIndent" w:type="paragraph">
    <w:name w:val="NoIndent"/>
    <w:basedOn w:val="BodyText"/>
    <w:link w:val="NoIndentChar"/>
    <w:qFormat/>
    <w:rsid w:val="004023D3"/>
    <w:pPr>
      <w:ind w:firstLine="0"/>
    </w:pPr>
  </w:style>
  <w:style w:customStyle="1" w:styleId="NoIndentChar" w:type="character">
    <w:name w:val="NoIndent Char"/>
    <w:basedOn w:val="BodyTextChar"/>
    <w:link w:val="NoIndent"/>
    <w:rsid w:val="004023D3"/>
  </w:style>
  <w:style w:customStyle="1" w:styleId="NextBlockText" w:type="paragraph">
    <w:name w:val="NextBlockText"/>
    <w:basedOn w:val="BlockText"/>
    <w:link w:val="NextBlockTextChar"/>
    <w:qFormat/>
    <w:rsid w:val="00065938"/>
    <w:pPr>
      <w:ind w:firstLine="720"/>
    </w:pPr>
  </w:style>
  <w:style w:customStyle="1" w:styleId="BlockTextChar" w:type="character">
    <w:name w:val="Block Text Char"/>
    <w:basedOn w:val="BodyTextChar"/>
    <w:link w:val="BlockText"/>
    <w:uiPriority w:val="9"/>
    <w:rsid w:val="00065938"/>
  </w:style>
  <w:style w:customStyle="1" w:styleId="NextBlockTextChar" w:type="character">
    <w:name w:val="NextBlockText Char"/>
    <w:basedOn w:val="BlockTextChar"/>
    <w:link w:val="NextBlockText"/>
    <w:rsid w:val="00065938"/>
  </w:style>
  <w:style w:styleId="PlaceholderText" w:type="character">
    <w:name w:val="Placeholder Text"/>
    <w:basedOn w:val="DefaultParagraphFont"/>
    <w:semiHidden/>
    <w:rsid w:val="00BB5C76"/>
    <w:rPr>
      <w:color w:val="666666"/>
    </w:rPr>
  </w:style>
  <w:style w:customStyle="1" w:styleId="H4" w:type="character">
    <w:name w:val="H4"/>
    <w:basedOn w:val="DefaultParagraphFont"/>
    <w:uiPriority w:val="1"/>
    <w:qFormat/>
    <w:rsid w:val="00EA785F"/>
    <w:rPr>
      <w:b/>
    </w:rPr>
  </w:style>
  <w:style w:customStyle="1" w:styleId="H5" w:type="character">
    <w:name w:val="H5"/>
    <w:basedOn w:val="H4"/>
    <w:uiPriority w:val="1"/>
    <w:qFormat/>
    <w:rsid w:val="00EA785F"/>
    <w:rPr>
      <w:b/>
      <w:i/>
    </w:rPr>
  </w:style>
  <w:style w:customStyle="1" w:styleId="AbstractFirstParagraph" w:type="paragraph">
    <w:name w:val="AbstractFirstParagraph"/>
    <w:basedOn w:val="Abstract"/>
    <w:link w:val="AbstractFirstParagraphChar"/>
    <w:qFormat/>
    <w:rsid w:val="00EA7B31"/>
    <w:pPr>
      <w:ind w:firstLine="0"/>
    </w:pPr>
  </w:style>
  <w:style w:customStyle="1" w:styleId="AbstractChar" w:type="character">
    <w:name w:val="Abstract Char"/>
    <w:basedOn w:val="DefaultParagraphFont"/>
    <w:link w:val="Abstract"/>
    <w:rsid w:val="005528BA"/>
    <w:rPr>
      <w:szCs w:val="20"/>
    </w:rPr>
  </w:style>
  <w:style w:customStyle="1" w:styleId="AbstractFirstParagraphChar" w:type="character">
    <w:name w:val="AbstractFirstParagraph Char"/>
    <w:basedOn w:val="AbstractChar"/>
    <w:link w:val="AbstractFirstParagraph"/>
    <w:rsid w:val="00EA7B31"/>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 Type="http://schemas.openxmlformats.org/officeDocument/2006/relationships/image" Id="rId177" Target="media/rId177.png" /><Relationship Type="http://schemas.openxmlformats.org/officeDocument/2006/relationships/image" Id="rId181" Target="media/rId181.png" /><Relationship Type="http://schemas.openxmlformats.org/officeDocument/2006/relationships/image" Id="rId185" Target="media/rId185.png" /><Relationship Type="http://schemas.openxmlformats.org/officeDocument/2006/relationships/image" Id="rId189" Target="media/rId189.png" /><Relationship Type="http://schemas.openxmlformats.org/officeDocument/2006/relationships/image" Id="rId193" Target="media/rId193.png" /><Relationship Type="http://schemas.openxmlformats.org/officeDocument/2006/relationships/image" Id="rId197" Target="media/rId197.png" /><Relationship Type="http://schemas.openxmlformats.org/officeDocument/2006/relationships/hyperlink" Id="rId90" Target="https://CRAN.R-project.org/package=emmeans" TargetMode="External" /><Relationship Type="http://schemas.openxmlformats.org/officeDocument/2006/relationships/hyperlink" Id="rId85" Target="https://doi.org/10.1006/jmps.2001.1388" TargetMode="External" /><Relationship Type="http://schemas.openxmlformats.org/officeDocument/2006/relationships/hyperlink" Id="rId54" Target="https://doi.org/10.1007/b97636" TargetMode="External" /><Relationship Type="http://schemas.openxmlformats.org/officeDocument/2006/relationships/hyperlink" Id="rId161" Target="https://doi.org/10.1007/s42761-020-00012-y" TargetMode="External" /><Relationship Type="http://schemas.openxmlformats.org/officeDocument/2006/relationships/hyperlink" Id="rId134" Target="https://doi.org/10.1016/S0079-6123(06)56002-9" TargetMode="External" /><Relationship Type="http://schemas.openxmlformats.org/officeDocument/2006/relationships/hyperlink" Id="rId60" Target="https://doi.org/10.1016/S0301-0511(99)00044-7" TargetMode="External" /><Relationship Type="http://schemas.openxmlformats.org/officeDocument/2006/relationships/hyperlink" Id="rId92" Target="https://doi.org/10.1016/bs.plm.2021.06.003" TargetMode="External" /><Relationship Type="http://schemas.openxmlformats.org/officeDocument/2006/relationships/hyperlink" Id="rId112" Target="https://doi.org/10.1016/j.biopsycho.2007.11.006" TargetMode="External" /><Relationship Type="http://schemas.openxmlformats.org/officeDocument/2006/relationships/hyperlink" Id="rId142" Target="https://doi.org/10.1016/j.biopsycho.2010.03.014" TargetMode="External" /><Relationship Type="http://schemas.openxmlformats.org/officeDocument/2006/relationships/hyperlink" Id="rId120" Target="https://doi.org/10.1016/j.biopsycho.2012.02.007" TargetMode="External" /><Relationship Type="http://schemas.openxmlformats.org/officeDocument/2006/relationships/hyperlink" Id="rId106" Target="https://doi.org/10.1016/j.brainres.2013.04.018" TargetMode="External" /><Relationship Type="http://schemas.openxmlformats.org/officeDocument/2006/relationships/hyperlink" Id="rId56" Target="https://doi.org/10.1016/j.conb.2007.03.005" TargetMode="External" /><Relationship Type="http://schemas.openxmlformats.org/officeDocument/2006/relationships/hyperlink" Id="rId68" Target="https://doi.org/10.1016/j.ijpsycho.2023.08.005" TargetMode="External" /><Relationship Type="http://schemas.openxmlformats.org/officeDocument/2006/relationships/hyperlink" Id="rId150" Target="https://doi.org/10.1016/j.jml.2007.01.002" TargetMode="External" /><Relationship Type="http://schemas.openxmlformats.org/officeDocument/2006/relationships/hyperlink" Id="rId152" Target="https://doi.org/10.1016/j.jml.2011.07.009" TargetMode="External" /><Relationship Type="http://schemas.openxmlformats.org/officeDocument/2006/relationships/hyperlink" Id="rId108" Target="https://doi.org/10.1016/j.jml.2015.10.002" TargetMode="External" /><Relationship Type="http://schemas.openxmlformats.org/officeDocument/2006/relationships/hyperlink" Id="rId64" Target="https://doi.org/10.1016/j.jneumeth.2003.10.009" TargetMode="External" /><Relationship Type="http://schemas.openxmlformats.org/officeDocument/2006/relationships/hyperlink" Id="rId102" Target="https://doi.org/10.1016/j.jneumeth.2007.03.024" TargetMode="External" /><Relationship Type="http://schemas.openxmlformats.org/officeDocument/2006/relationships/hyperlink" Id="rId110" Target="https://doi.org/10.1016/j.jneumeth.2010.07.015" TargetMode="External" /><Relationship Type="http://schemas.openxmlformats.org/officeDocument/2006/relationships/hyperlink" Id="rId126" Target="https://doi.org/10.1016/j.neunet.2005.03.001" TargetMode="External" /><Relationship Type="http://schemas.openxmlformats.org/officeDocument/2006/relationships/hyperlink" Id="rId154" Target="https://doi.org/10.1016/j.neuroimage.2015.12.030" TargetMode="External" /><Relationship Type="http://schemas.openxmlformats.org/officeDocument/2006/relationships/hyperlink" Id="rId73" Target="https://doi.org/10.1017/CBO9780511790942" TargetMode="External" /><Relationship Type="http://schemas.openxmlformats.org/officeDocument/2006/relationships/hyperlink" Id="rId144" Target="https://doi.org/10.1023/A:1008202821328" TargetMode="External" /><Relationship Type="http://schemas.openxmlformats.org/officeDocument/2006/relationships/hyperlink" Id="rId48" Target="https://doi.org/10.1037/0096-3445.134.2.258" TargetMode="External" /><Relationship Type="http://schemas.openxmlformats.org/officeDocument/2006/relationships/hyperlink" Id="rId140" Target="https://doi.org/10.1037/a0013396" TargetMode="External" /><Relationship Type="http://schemas.openxmlformats.org/officeDocument/2006/relationships/hyperlink" Id="rId118" Target="https://doi.org/10.1037/a0014420" TargetMode="External" /><Relationship Type="http://schemas.openxmlformats.org/officeDocument/2006/relationships/hyperlink" Id="rId94" Target="https://doi.org/10.1037/a0039036" TargetMode="External" /><Relationship Type="http://schemas.openxmlformats.org/officeDocument/2006/relationships/hyperlink" Id="rId79" Target="https://doi.org/10.1037/rev0000015" TargetMode="External" /><Relationship Type="http://schemas.openxmlformats.org/officeDocument/2006/relationships/hyperlink" Id="rId148" Target="https://doi.org/10.1037/rev0000132" TargetMode="External" /><Relationship Type="http://schemas.openxmlformats.org/officeDocument/2006/relationships/hyperlink" Id="rId58" Target="https://doi.org/10.1037/rev0000334" TargetMode="External" /><Relationship Type="http://schemas.openxmlformats.org/officeDocument/2006/relationships/hyperlink" Id="rId163" Target="https://doi.org/10.1037/rev0000505" TargetMode="External" /><Relationship Type="http://schemas.openxmlformats.org/officeDocument/2006/relationships/hyperlink" Id="rId87" Target="https://doi.org/10.1038/s41467-021-24393-1" TargetMode="External" /><Relationship Type="http://schemas.openxmlformats.org/officeDocument/2006/relationships/hyperlink" Id="rId100" Target="https://doi.org/10.1073/pnas.1015174108" TargetMode="External" /><Relationship Type="http://schemas.openxmlformats.org/officeDocument/2006/relationships/hyperlink" Id="rId77" Target="https://doi.org/10.1080/87565640903526504" TargetMode="External" /><Relationship Type="http://schemas.openxmlformats.org/officeDocument/2006/relationships/hyperlink" Id="rId132" Target="https://doi.org/10.1111/1469-8986.3720257" TargetMode="External" /><Relationship Type="http://schemas.openxmlformats.org/officeDocument/2006/relationships/hyperlink" Id="rId156" Target="https://doi.org/10.1111/psyp.12211" TargetMode="External" /><Relationship Type="http://schemas.openxmlformats.org/officeDocument/2006/relationships/hyperlink" Id="rId50" Target="https://doi.org/10.1111/psyp.13014" TargetMode="External" /><Relationship Type="http://schemas.openxmlformats.org/officeDocument/2006/relationships/hyperlink" Id="rId128" Target="https://doi.org/10.1111/psyp.13335" TargetMode="External" /><Relationship Type="http://schemas.openxmlformats.org/officeDocument/2006/relationships/hyperlink" Id="rId124" Target="https://doi.org/10.1111/psyp.13362" TargetMode="External" /><Relationship Type="http://schemas.openxmlformats.org/officeDocument/2006/relationships/hyperlink" Id="rId75" Target="https://doi.org/10.1111/psyp.13570" TargetMode="External" /><Relationship Type="http://schemas.openxmlformats.org/officeDocument/2006/relationships/hyperlink" Id="rId130" Target="https://doi.org/10.1111/psyp.13585" TargetMode="External" /><Relationship Type="http://schemas.openxmlformats.org/officeDocument/2006/relationships/hyperlink" Id="rId138" Target="https://doi.org/10.1111/psyp.13766" TargetMode="External" /><Relationship Type="http://schemas.openxmlformats.org/officeDocument/2006/relationships/hyperlink" Id="rId158" Target="https://doi.org/10.1111/psyp.13904" TargetMode="External" /><Relationship Type="http://schemas.openxmlformats.org/officeDocument/2006/relationships/hyperlink" Id="rId83" Target="https://doi.org/10.1111/psyp.14322" TargetMode="External" /><Relationship Type="http://schemas.openxmlformats.org/officeDocument/2006/relationships/hyperlink" Id="rId136" Target="https://doi.org/10.1111/psyp.14718" TargetMode="External" /><Relationship Type="http://schemas.openxmlformats.org/officeDocument/2006/relationships/hyperlink" Id="rId116" Target="https://doi.org/10.1126/science.1117645" TargetMode="External" /><Relationship Type="http://schemas.openxmlformats.org/officeDocument/2006/relationships/hyperlink" Id="rId114" Target="https://doi.org/10.1155/2011/156869" TargetMode="External" /><Relationship Type="http://schemas.openxmlformats.org/officeDocument/2006/relationships/hyperlink" Id="rId146" Target="https://doi.org/10.1177/0963721413498893" TargetMode="External" /><Relationship Type="http://schemas.openxmlformats.org/officeDocument/2006/relationships/hyperlink" Id="rId104" Target="https://doi.org/10.1177/1745691611400234" TargetMode="External" /><Relationship Type="http://schemas.openxmlformats.org/officeDocument/2006/relationships/hyperlink" Id="rId122" Target="https://doi.org/10.1523/JNEUROSCI.1490-21.2022" TargetMode="External" /><Relationship Type="http://schemas.openxmlformats.org/officeDocument/2006/relationships/hyperlink" Id="rId70" Target="https://doi.org/10.1523/JNEUROSCI.2312-17.2018" TargetMode="External" /><Relationship Type="http://schemas.openxmlformats.org/officeDocument/2006/relationships/hyperlink" Id="rId52" Target="https://doi.org/10.18637/jss.v067.i01" TargetMode="External" /><Relationship Type="http://schemas.openxmlformats.org/officeDocument/2006/relationships/hyperlink" Id="rId98" Target="https://doi.org/10.3389/fnhum.2017.00580" TargetMode="External" /><Relationship Type="http://schemas.openxmlformats.org/officeDocument/2006/relationships/hyperlink" Id="rId96" Target="https://doi.org/10.3758/BF03195840" TargetMode="External" /><Relationship Type="http://schemas.openxmlformats.org/officeDocument/2006/relationships/hyperlink" Id="rId66" Target="https://doi.org/10.3758/CABN.2.3.252" TargetMode="External" /><Relationship Type="http://schemas.openxmlformats.org/officeDocument/2006/relationships/hyperlink" Id="rId81" Target="https://doi.org/10.3758/s13423-018-1537-3" TargetMode="External" /><Relationship Type="http://schemas.openxmlformats.org/officeDocument/2006/relationships/hyperlink" Id="rId62" Target="https://doi.org/10.3758/s13428-011-0064-1" TargetMode="External" /></Relationships>
</file>

<file path=word/_rels/footnotes.xml.rels><?xml version="1.0" encoding="UTF-8"?><Relationships xmlns="http://schemas.openxmlformats.org/package/2006/relationships"><Relationship Type="http://schemas.openxmlformats.org/officeDocument/2006/relationships/hyperlink" Id="rId90" Target="https://CRAN.R-project.org/package=emmeans" TargetMode="External" /><Relationship Type="http://schemas.openxmlformats.org/officeDocument/2006/relationships/hyperlink" Id="rId85" Target="https://doi.org/10.1006/jmps.2001.1388" TargetMode="External" /><Relationship Type="http://schemas.openxmlformats.org/officeDocument/2006/relationships/hyperlink" Id="rId54" Target="https://doi.org/10.1007/b97636" TargetMode="External" /><Relationship Type="http://schemas.openxmlformats.org/officeDocument/2006/relationships/hyperlink" Id="rId161" Target="https://doi.org/10.1007/s42761-020-00012-y" TargetMode="External" /><Relationship Type="http://schemas.openxmlformats.org/officeDocument/2006/relationships/hyperlink" Id="rId134" Target="https://doi.org/10.1016/S0079-6123(06)56002-9" TargetMode="External" /><Relationship Type="http://schemas.openxmlformats.org/officeDocument/2006/relationships/hyperlink" Id="rId60" Target="https://doi.org/10.1016/S0301-0511(99)00044-7" TargetMode="External" /><Relationship Type="http://schemas.openxmlformats.org/officeDocument/2006/relationships/hyperlink" Id="rId92" Target="https://doi.org/10.1016/bs.plm.2021.06.003" TargetMode="External" /><Relationship Type="http://schemas.openxmlformats.org/officeDocument/2006/relationships/hyperlink" Id="rId112" Target="https://doi.org/10.1016/j.biopsycho.2007.11.006" TargetMode="External" /><Relationship Type="http://schemas.openxmlformats.org/officeDocument/2006/relationships/hyperlink" Id="rId142" Target="https://doi.org/10.1016/j.biopsycho.2010.03.014" TargetMode="External" /><Relationship Type="http://schemas.openxmlformats.org/officeDocument/2006/relationships/hyperlink" Id="rId120" Target="https://doi.org/10.1016/j.biopsycho.2012.02.007" TargetMode="External" /><Relationship Type="http://schemas.openxmlformats.org/officeDocument/2006/relationships/hyperlink" Id="rId106" Target="https://doi.org/10.1016/j.brainres.2013.04.018" TargetMode="External" /><Relationship Type="http://schemas.openxmlformats.org/officeDocument/2006/relationships/hyperlink" Id="rId56" Target="https://doi.org/10.1016/j.conb.2007.03.005" TargetMode="External" /><Relationship Type="http://schemas.openxmlformats.org/officeDocument/2006/relationships/hyperlink" Id="rId68" Target="https://doi.org/10.1016/j.ijpsycho.2023.08.005" TargetMode="External" /><Relationship Type="http://schemas.openxmlformats.org/officeDocument/2006/relationships/hyperlink" Id="rId150" Target="https://doi.org/10.1016/j.jml.2007.01.002" TargetMode="External" /><Relationship Type="http://schemas.openxmlformats.org/officeDocument/2006/relationships/hyperlink" Id="rId152" Target="https://doi.org/10.1016/j.jml.2011.07.009" TargetMode="External" /><Relationship Type="http://schemas.openxmlformats.org/officeDocument/2006/relationships/hyperlink" Id="rId108" Target="https://doi.org/10.1016/j.jml.2015.10.002" TargetMode="External" /><Relationship Type="http://schemas.openxmlformats.org/officeDocument/2006/relationships/hyperlink" Id="rId64" Target="https://doi.org/10.1016/j.jneumeth.2003.10.009" TargetMode="External" /><Relationship Type="http://schemas.openxmlformats.org/officeDocument/2006/relationships/hyperlink" Id="rId102" Target="https://doi.org/10.1016/j.jneumeth.2007.03.024" TargetMode="External" /><Relationship Type="http://schemas.openxmlformats.org/officeDocument/2006/relationships/hyperlink" Id="rId110" Target="https://doi.org/10.1016/j.jneumeth.2010.07.015" TargetMode="External" /><Relationship Type="http://schemas.openxmlformats.org/officeDocument/2006/relationships/hyperlink" Id="rId126" Target="https://doi.org/10.1016/j.neunet.2005.03.001" TargetMode="External" /><Relationship Type="http://schemas.openxmlformats.org/officeDocument/2006/relationships/hyperlink" Id="rId154" Target="https://doi.org/10.1016/j.neuroimage.2015.12.030" TargetMode="External" /><Relationship Type="http://schemas.openxmlformats.org/officeDocument/2006/relationships/hyperlink" Id="rId73" Target="https://doi.org/10.1017/CBO9780511790942" TargetMode="External" /><Relationship Type="http://schemas.openxmlformats.org/officeDocument/2006/relationships/hyperlink" Id="rId144" Target="https://doi.org/10.1023/A:1008202821328" TargetMode="External" /><Relationship Type="http://schemas.openxmlformats.org/officeDocument/2006/relationships/hyperlink" Id="rId48" Target="https://doi.org/10.1037/0096-3445.134.2.258" TargetMode="External" /><Relationship Type="http://schemas.openxmlformats.org/officeDocument/2006/relationships/hyperlink" Id="rId140" Target="https://doi.org/10.1037/a0013396" TargetMode="External" /><Relationship Type="http://schemas.openxmlformats.org/officeDocument/2006/relationships/hyperlink" Id="rId118" Target="https://doi.org/10.1037/a0014420" TargetMode="External" /><Relationship Type="http://schemas.openxmlformats.org/officeDocument/2006/relationships/hyperlink" Id="rId94" Target="https://doi.org/10.1037/a0039036" TargetMode="External" /><Relationship Type="http://schemas.openxmlformats.org/officeDocument/2006/relationships/hyperlink" Id="rId79" Target="https://doi.org/10.1037/rev0000015" TargetMode="External" /><Relationship Type="http://schemas.openxmlformats.org/officeDocument/2006/relationships/hyperlink" Id="rId148" Target="https://doi.org/10.1037/rev0000132" TargetMode="External" /><Relationship Type="http://schemas.openxmlformats.org/officeDocument/2006/relationships/hyperlink" Id="rId58" Target="https://doi.org/10.1037/rev0000334" TargetMode="External" /><Relationship Type="http://schemas.openxmlformats.org/officeDocument/2006/relationships/hyperlink" Id="rId163" Target="https://doi.org/10.1037/rev0000505" TargetMode="External" /><Relationship Type="http://schemas.openxmlformats.org/officeDocument/2006/relationships/hyperlink" Id="rId87" Target="https://doi.org/10.1038/s41467-021-24393-1" TargetMode="External" /><Relationship Type="http://schemas.openxmlformats.org/officeDocument/2006/relationships/hyperlink" Id="rId100" Target="https://doi.org/10.1073/pnas.1015174108" TargetMode="External" /><Relationship Type="http://schemas.openxmlformats.org/officeDocument/2006/relationships/hyperlink" Id="rId77" Target="https://doi.org/10.1080/87565640903526504" TargetMode="External" /><Relationship Type="http://schemas.openxmlformats.org/officeDocument/2006/relationships/hyperlink" Id="rId132" Target="https://doi.org/10.1111/1469-8986.3720257" TargetMode="External" /><Relationship Type="http://schemas.openxmlformats.org/officeDocument/2006/relationships/hyperlink" Id="rId156" Target="https://doi.org/10.1111/psyp.12211" TargetMode="External" /><Relationship Type="http://schemas.openxmlformats.org/officeDocument/2006/relationships/hyperlink" Id="rId50" Target="https://doi.org/10.1111/psyp.13014" TargetMode="External" /><Relationship Type="http://schemas.openxmlformats.org/officeDocument/2006/relationships/hyperlink" Id="rId128" Target="https://doi.org/10.1111/psyp.13335" TargetMode="External" /><Relationship Type="http://schemas.openxmlformats.org/officeDocument/2006/relationships/hyperlink" Id="rId124" Target="https://doi.org/10.1111/psyp.13362" TargetMode="External" /><Relationship Type="http://schemas.openxmlformats.org/officeDocument/2006/relationships/hyperlink" Id="rId75" Target="https://doi.org/10.1111/psyp.13570" TargetMode="External" /><Relationship Type="http://schemas.openxmlformats.org/officeDocument/2006/relationships/hyperlink" Id="rId130" Target="https://doi.org/10.1111/psyp.13585" TargetMode="External" /><Relationship Type="http://schemas.openxmlformats.org/officeDocument/2006/relationships/hyperlink" Id="rId138" Target="https://doi.org/10.1111/psyp.13766" TargetMode="External" /><Relationship Type="http://schemas.openxmlformats.org/officeDocument/2006/relationships/hyperlink" Id="rId158" Target="https://doi.org/10.1111/psyp.13904" TargetMode="External" /><Relationship Type="http://schemas.openxmlformats.org/officeDocument/2006/relationships/hyperlink" Id="rId83" Target="https://doi.org/10.1111/psyp.14322" TargetMode="External" /><Relationship Type="http://schemas.openxmlformats.org/officeDocument/2006/relationships/hyperlink" Id="rId136" Target="https://doi.org/10.1111/psyp.14718" TargetMode="External" /><Relationship Type="http://schemas.openxmlformats.org/officeDocument/2006/relationships/hyperlink" Id="rId116" Target="https://doi.org/10.1126/science.1117645" TargetMode="External" /><Relationship Type="http://schemas.openxmlformats.org/officeDocument/2006/relationships/hyperlink" Id="rId114" Target="https://doi.org/10.1155/2011/156869" TargetMode="External" /><Relationship Type="http://schemas.openxmlformats.org/officeDocument/2006/relationships/hyperlink" Id="rId146" Target="https://doi.org/10.1177/0963721413498893" TargetMode="External" /><Relationship Type="http://schemas.openxmlformats.org/officeDocument/2006/relationships/hyperlink" Id="rId104" Target="https://doi.org/10.1177/1745691611400234" TargetMode="External" /><Relationship Type="http://schemas.openxmlformats.org/officeDocument/2006/relationships/hyperlink" Id="rId122" Target="https://doi.org/10.1523/JNEUROSCI.1490-21.2022" TargetMode="External" /><Relationship Type="http://schemas.openxmlformats.org/officeDocument/2006/relationships/hyperlink" Id="rId70" Target="https://doi.org/10.1523/JNEUROSCI.2312-17.2018" TargetMode="External" /><Relationship Type="http://schemas.openxmlformats.org/officeDocument/2006/relationships/hyperlink" Id="rId52" Target="https://doi.org/10.18637/jss.v067.i01" TargetMode="External" /><Relationship Type="http://schemas.openxmlformats.org/officeDocument/2006/relationships/hyperlink" Id="rId98" Target="https://doi.org/10.3389/fnhum.2017.00580" TargetMode="External" /><Relationship Type="http://schemas.openxmlformats.org/officeDocument/2006/relationships/hyperlink" Id="rId96" Target="https://doi.org/10.3758/BF03195840" TargetMode="External" /><Relationship Type="http://schemas.openxmlformats.org/officeDocument/2006/relationships/hyperlink" Id="rId66" Target="https://doi.org/10.3758/CABN.2.3.252" TargetMode="External" /><Relationship Type="http://schemas.openxmlformats.org/officeDocument/2006/relationships/hyperlink" Id="rId81" Target="https://doi.org/10.3758/s13423-018-1537-3" TargetMode="External" /><Relationship Type="http://schemas.openxmlformats.org/officeDocument/2006/relationships/hyperlink" Id="rId62" Target="https://doi.org/10.3758/s13428-011-0064-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Groovy Title</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LPP CONTRIBUTION TO EMOTIONAL MEMORY</dc:description>
  <cp:keywords/>
  <dcterms:created xsi:type="dcterms:W3CDTF">2026-08-27T22:13:18Z</dcterms:created>
  <dcterms:modified xsi:type="dcterms:W3CDTF">2026-08-27T22:13:18Z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ffiliationsdifferent">
    <vt:lpwstr>True</vt:lpwstr>
  </property>
  <property fmtid="{D5CDD505-2E9C-101B-9397-08002B2CF9AE}" pid="4" name="apaauthor">
    <vt:lpwstr/>
  </property>
  <property fmtid="{D5CDD505-2E9C-101B-9397-08002B2CF9AE}" pid="5" name="apatitle">
    <vt:lpwstr>Contribution of the Late Positive Potential to Emotional Memory: A Joint Neuro-Cognitive Approach to Memory Prediction</vt:lpwstr>
  </property>
  <property fmtid="{D5CDD505-2E9C-101B-9397-08002B2CF9AE}" pid="6" name="apatitledisplay">
    <vt:lpwstr>Contribution of the Late Positive Potential to Emotional Memory: A Joint Neuro-Cognitive Approach to Memory Prediction</vt:lpwstr>
  </property>
  <property fmtid="{D5CDD505-2E9C-101B-9397-08002B2CF9AE}" pid="7" name="author-note">
    <vt:lpwstr/>
  </property>
  <property fmtid="{D5CDD505-2E9C-101B-9397-08002B2CF9AE}" pid="8" name="authors">
    <vt:lpwstr/>
  </property>
  <property fmtid="{D5CDD505-2E9C-101B-9397-08002B2CF9AE}" pid="9" name="biblio-config">
    <vt:lpwstr>True</vt:lpwstr>
  </property>
  <property fmtid="{D5CDD505-2E9C-101B-9397-08002B2CF9AE}" pid="10" name="by-affiliation">
    <vt:lpwstr/>
  </property>
  <property fmtid="{D5CDD505-2E9C-101B-9397-08002B2CF9AE}" pid="11" name="by-author">
    <vt:lpwstr/>
  </property>
  <property fmtid="{D5CDD505-2E9C-101B-9397-08002B2CF9AE}" pid="12" name="cap-location">
    <vt:lpwstr>top</vt:lpwstr>
  </property>
  <property fmtid="{D5CDD505-2E9C-101B-9397-08002B2CF9AE}" pid="13" name="clear-hidden-classes">
    <vt:lpwstr>none</vt:lpwstr>
  </property>
  <property fmtid="{D5CDD505-2E9C-101B-9397-08002B2CF9AE}" pid="14" name="crossref">
    <vt:lpwstr/>
  </property>
  <property fmtid="{D5CDD505-2E9C-101B-9397-08002B2CF9AE}" pid="15" name="csl">
    <vt:lpwstr>_extensions/wjschne/apaquarto/apa.csl</vt:lpwstr>
  </property>
  <property fmtid="{D5CDD505-2E9C-101B-9397-08002B2CF9AE}" pid="16" name="documentmode">
    <vt:lpwstr>man</vt:lpwstr>
  </property>
  <property fmtid="{D5CDD505-2E9C-101B-9397-08002B2CF9AE}" pid="17" name="donotrepeattitle">
    <vt:lpwstr>True</vt:lpwstr>
  </property>
  <property fmtid="{D5CDD505-2E9C-101B-9397-08002B2CF9AE}" pid="18" name="fig-cap-location">
    <vt:lpwstr>top</vt:lpwstr>
  </property>
  <property fmtid="{D5CDD505-2E9C-101B-9397-08002B2CF9AE}" pid="19" name="google-scholar">
    <vt:lpwstr>True</vt:lpwstr>
  </property>
  <property fmtid="{D5CDD505-2E9C-101B-9397-08002B2CF9AE}" pid="20" name="header-includes">
    <vt:lpwstr/>
  </property>
  <property fmtid="{D5CDD505-2E9C-101B-9397-08002B2CF9AE}" pid="21" name="include-after">
    <vt:lpwstr/>
  </property>
  <property fmtid="{D5CDD505-2E9C-101B-9397-08002B2CF9AE}" pid="22" name="include-before">
    <vt:lpwstr/>
  </property>
  <property fmtid="{D5CDD505-2E9C-101B-9397-08002B2CF9AE}" pid="23" name="knitr">
    <vt:lpwstr/>
  </property>
  <property fmtid="{D5CDD505-2E9C-101B-9397-08002B2CF9AE}" pid="24" name="labels">
    <vt:lpwstr/>
  </property>
  <property fmtid="{D5CDD505-2E9C-101B-9397-08002B2CF9AE}" pid="25" name="language">
    <vt:lpwstr/>
  </property>
  <property fmtid="{D5CDD505-2E9C-101B-9397-08002B2CF9AE}" pid="26" name="lightbox">
    <vt:lpwstr>auto</vt:lpwstr>
  </property>
  <property fmtid="{D5CDD505-2E9C-101B-9397-08002B2CF9AE}" pid="27" name="link-citations">
    <vt:lpwstr>True</vt:lpwstr>
  </property>
  <property fmtid="{D5CDD505-2E9C-101B-9397-08002B2CF9AE}" pid="28" name="manuscript">
    <vt:lpwstr/>
  </property>
  <property fmtid="{D5CDD505-2E9C-101B-9397-08002B2CF9AE}" pid="29" name="meta-analysis">
    <vt:lpwstr>False</vt:lpwstr>
  </property>
  <property fmtid="{D5CDD505-2E9C-101B-9397-08002B2CF9AE}" pid="30" name="no-ampersand-parenthetical">
    <vt:lpwstr>False</vt:lpwstr>
  </property>
  <property fmtid="{D5CDD505-2E9C-101B-9397-08002B2CF9AE}" pid="31" name="nocite">
    <vt:lpwstr>@gelman2006data, @riberto2022neural, @sander2005systems, @stephens2010autonomic</vt:lpwstr>
  </property>
  <property fmtid="{D5CDD505-2E9C-101B-9397-08002B2CF9AE}" pid="32" name="notebook-preview-options">
    <vt:lpwstr/>
  </property>
  <property fmtid="{D5CDD505-2E9C-101B-9397-08002B2CF9AE}" pid="33" name="number-depth">
    <vt:lpwstr>3</vt:lpwstr>
  </property>
  <property fmtid="{D5CDD505-2E9C-101B-9397-08002B2CF9AE}" pid="34" name="numbersections">
    <vt:lpwstr>False</vt:lpwstr>
  </property>
  <property fmtid="{D5CDD505-2E9C-101B-9397-08002B2CF9AE}" pid="35" name="oneaffiliation">
    <vt:lpwstr>False</vt:lpwstr>
  </property>
  <property fmtid="{D5CDD505-2E9C-101B-9397-08002B2CF9AE}" pid="36" name="oneauthor">
    <vt:lpwstr>False</vt:lpwstr>
  </property>
  <property fmtid="{D5CDD505-2E9C-101B-9397-08002B2CF9AE}" pid="37" name="quarto-internal">
    <vt:lpwstr/>
  </property>
  <property fmtid="{D5CDD505-2E9C-101B-9397-08002B2CF9AE}" pid="38" name="references">
    <vt:lpwstr/>
  </property>
  <property fmtid="{D5CDD505-2E9C-101B-9397-08002B2CF9AE}" pid="39" name="remove-hidden">
    <vt:lpwstr>all</vt:lpwstr>
  </property>
  <property fmtid="{D5CDD505-2E9C-101B-9397-08002B2CF9AE}" pid="40" name="revealjs-plugins">
    <vt:lpwstr/>
  </property>
  <property fmtid="{D5CDD505-2E9C-101B-9397-08002B2CF9AE}" pid="41" name="shorttitle">
    <vt:lpwstr>LPP CONTRIBUTION TO EMOTIONAL MEMORY</vt:lpwstr>
  </property>
  <property fmtid="{D5CDD505-2E9C-101B-9397-08002B2CF9AE}" pid="42" name="suppress-abstract">
    <vt:lpwstr>False</vt:lpwstr>
  </property>
  <property fmtid="{D5CDD505-2E9C-101B-9397-08002B2CF9AE}" pid="43" name="suppress-affiliation">
    <vt:lpwstr>False</vt:lpwstr>
  </property>
  <property fmtid="{D5CDD505-2E9C-101B-9397-08002B2CF9AE}" pid="44" name="suppress-author">
    <vt:lpwstr>False</vt:lpwstr>
  </property>
  <property fmtid="{D5CDD505-2E9C-101B-9397-08002B2CF9AE}" pid="45" name="suppress-author-note">
    <vt:lpwstr>False</vt:lpwstr>
  </property>
  <property fmtid="{D5CDD505-2E9C-101B-9397-08002B2CF9AE}" pid="46" name="suppress-corresponding-address">
    <vt:lpwstr>False</vt:lpwstr>
  </property>
  <property fmtid="{D5CDD505-2E9C-101B-9397-08002B2CF9AE}" pid="47" name="suppress-corresponding-affiliation-name">
    <vt:lpwstr>False</vt:lpwstr>
  </property>
  <property fmtid="{D5CDD505-2E9C-101B-9397-08002B2CF9AE}" pid="48" name="suppress-corresponding-city">
    <vt:lpwstr>False</vt:lpwstr>
  </property>
  <property fmtid="{D5CDD505-2E9C-101B-9397-08002B2CF9AE}" pid="49" name="suppress-corresponding-country">
    <vt:lpwstr>False</vt:lpwstr>
  </property>
  <property fmtid="{D5CDD505-2E9C-101B-9397-08002B2CF9AE}" pid="50" name="suppress-corresponding-department">
    <vt:lpwstr>False</vt:lpwstr>
  </property>
  <property fmtid="{D5CDD505-2E9C-101B-9397-08002B2CF9AE}" pid="51" name="suppress-corresponding-email">
    <vt:lpwstr>False</vt:lpwstr>
  </property>
  <property fmtid="{D5CDD505-2E9C-101B-9397-08002B2CF9AE}" pid="52" name="suppress-corresponding-group">
    <vt:lpwstr>False</vt:lpwstr>
  </property>
  <property fmtid="{D5CDD505-2E9C-101B-9397-08002B2CF9AE}" pid="53" name="suppress-corresponding-paragraph">
    <vt:lpwstr>False</vt:lpwstr>
  </property>
  <property fmtid="{D5CDD505-2E9C-101B-9397-08002B2CF9AE}" pid="54" name="suppress-corresponding-postal-code">
    <vt:lpwstr>False</vt:lpwstr>
  </property>
  <property fmtid="{D5CDD505-2E9C-101B-9397-08002B2CF9AE}" pid="55" name="suppress-corresponding-region">
    <vt:lpwstr>False</vt:lpwstr>
  </property>
  <property fmtid="{D5CDD505-2E9C-101B-9397-08002B2CF9AE}" pid="56" name="suppress-credit-statement">
    <vt:lpwstr>False</vt:lpwstr>
  </property>
  <property fmtid="{D5CDD505-2E9C-101B-9397-08002B2CF9AE}" pid="57" name="suppress-disclosures-paragraph">
    <vt:lpwstr>False</vt:lpwstr>
  </property>
  <property fmtid="{D5CDD505-2E9C-101B-9397-08002B2CF9AE}" pid="58" name="suppress-impact-statement">
    <vt:lpwstr>False</vt:lpwstr>
  </property>
  <property fmtid="{D5CDD505-2E9C-101B-9397-08002B2CF9AE}" pid="59" name="suppress-keywords">
    <vt:lpwstr>False</vt:lpwstr>
  </property>
  <property fmtid="{D5CDD505-2E9C-101B-9397-08002B2CF9AE}" pid="60" name="suppress-orcid">
    <vt:lpwstr>False</vt:lpwstr>
  </property>
  <property fmtid="{D5CDD505-2E9C-101B-9397-08002B2CF9AE}" pid="61" name="suppress-short-title">
    <vt:lpwstr>False</vt:lpwstr>
  </property>
  <property fmtid="{D5CDD505-2E9C-101B-9397-08002B2CF9AE}" pid="62" name="suppress-status-change-paragraph">
    <vt:lpwstr>False</vt:lpwstr>
  </property>
  <property fmtid="{D5CDD505-2E9C-101B-9397-08002B2CF9AE}" pid="63" name="suppress-title">
    <vt:lpwstr>False</vt:lpwstr>
  </property>
  <property fmtid="{D5CDD505-2E9C-101B-9397-08002B2CF9AE}" pid="64" name="suppress-title-introduction">
    <vt:lpwstr>True</vt:lpwstr>
  </property>
  <property fmtid="{D5CDD505-2E9C-101B-9397-08002B2CF9AE}" pid="65" name="suppress-title-page">
    <vt:lpwstr>False</vt:lpwstr>
  </property>
  <property fmtid="{D5CDD505-2E9C-101B-9397-08002B2CF9AE}" pid="66" name="suppress-title-page-number">
    <vt:lpwstr>False</vt:lpwstr>
  </property>
  <property fmtid="{D5CDD505-2E9C-101B-9397-08002B2CF9AE}" pid="67" name="tbl-cap-location">
    <vt:lpwstr>top</vt:lpwstr>
  </property>
  <property fmtid="{D5CDD505-2E9C-101B-9397-08002B2CF9AE}" pid="68" name="template-partials">
    <vt:lpwstr/>
  </property>
  <property fmtid="{D5CDD505-2E9C-101B-9397-08002B2CF9AE}" pid="69" name="theme">
    <vt:lpwstr>cosmo</vt:lpwstr>
  </property>
  <property fmtid="{D5CDD505-2E9C-101B-9397-08002B2CF9AE}" pid="70" name="title-block-style">
    <vt:lpwstr>manuscript</vt:lpwstr>
  </property>
  <property fmtid="{D5CDD505-2E9C-101B-9397-08002B2CF9AE}" pid="71" name="toc-title">
    <vt:lpwstr>Table of contents</vt:lpwstr>
  </property>
  <property fmtid="{D5CDD505-2E9C-101B-9397-08002B2CF9AE}" pid="72" name="unroll-markdown-cells">
    <vt:lpwstr>True</vt:lpwstr>
  </property>
  <property fmtid="{D5CDD505-2E9C-101B-9397-08002B2CF9AE}" pid="73" name="wordn">
    <vt:lpwstr>9828</vt:lpwstr>
  </property>
  <property fmtid="{D5CDD505-2E9C-101B-9397-08002B2CF9AE}" pid="74" name="zerocitations">
    <vt:lpwstr>False</vt:lpwstr>
  </property>
</Properties>
</file>